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80" w:right="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Арбитражный суд Нижегородской области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19"/>
        <w:ind w:left="4980" w:right="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603005, г. Нижний Новгород, Кремль, корпус 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60" w:line="200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 строительства:</w:t>
      </w:r>
    </w:p>
    <w:p>
      <w:pPr>
        <w:pStyle w:val="Style8"/>
        <w:tabs>
          <w:tab w:leader="underscore" w:pos="6456" w:val="center"/>
          <w:tab w:leader="none" w:pos="765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>года</w:t>
        <w:tab/>
        <w:t>рождения,</w:t>
      </w:r>
    </w:p>
    <w:p>
      <w:pPr>
        <w:pStyle w:val="Style8"/>
        <w:tabs>
          <w:tab w:leader="underscore" w:pos="7136" w:val="right"/>
          <w:tab w:leader="none" w:pos="7657" w:val="right"/>
          <w:tab w:leader="underscore" w:pos="8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</w:t>
        <w:tab/>
        <w:t>,</w:t>
        <w:tab/>
        <w:t>выдан</w:t>
        <w:tab/>
        <w:t>г.</w:t>
      </w:r>
    </w:p>
    <w:p>
      <w:pPr>
        <w:pStyle w:val="Style8"/>
        <w:tabs>
          <w:tab w:leader="underscore" w:pos="8443" w:val="right"/>
          <w:tab w:leader="none" w:pos="88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Отделением в гор.</w:t>
        <w:tab/>
        <w:t>ОУФМС</w:t>
        <w:tab/>
        <w:t>России</w:t>
      </w:r>
    </w:p>
    <w:p>
      <w:pPr>
        <w:pStyle w:val="Style8"/>
        <w:tabs>
          <w:tab w:leader="underscore" w:pos="8058" w:val="right"/>
          <w:tab w:leader="none" w:pos="844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Нижегород. обл. в</w:t>
        <w:tab/>
        <w:t>,</w:t>
        <w:tab/>
        <w:t>код</w:t>
      </w:r>
    </w:p>
    <w:p>
      <w:pPr>
        <w:pStyle w:val="Style8"/>
        <w:tabs>
          <w:tab w:leader="underscore" w:pos="765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подразделения</w:t>
        <w:tab/>
        <w:t>,</w:t>
      </w:r>
    </w:p>
    <w:p>
      <w:pPr>
        <w:pStyle w:val="Style8"/>
        <w:tabs>
          <w:tab w:leader="underscore" w:pos="8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65" w:line="256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зарегистрирован по адресу:</w:t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53" w:line="200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для корреспонденции: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Должник: Открытое акционерное общество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«Нижегородкапстрой»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1055238182317,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 5260159835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603136, г.Н.Новгород, б-р 60-Летия Октября,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14" w:line="252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25, 1, помещение П5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Временный управляющий: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Лохнин Максим Евгеньевич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603109, г. Н. Новгород, ул. Нижегородская, д.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19" w:line="259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25, кв. 3.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485" w:line="210" w:lineRule="exact"/>
        <w:ind w:left="5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Дело № А43-8627/2011 (шифр 26-18-5)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21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ТРЕБОВАНИЕ О ПЕРЕДАЧЕ ЖИЛОГО ПОМЕЩЕНИЯ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195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делу о банкротстве застройщика - ОАО «Нижегородкапстрой» на основании гл. </w:t>
      </w:r>
      <w:r>
        <w:rPr>
          <w:rStyle w:val="CharStyle10"/>
        </w:rPr>
        <w:t xml:space="preserve">IX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§ 7 Федерального закона №127-ФЗ «О несостоятельности (банкротстве)»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. .20 года между /полное наименование юридического лица или Ф.И.О. физического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лица/ (участник строительства) и ОАО «Нижегородкапстрой» (застройщик) заключен договор долевого</w:t>
      </w:r>
    </w:p>
    <w:p>
      <w:pPr>
        <w:pStyle w:val="Style11"/>
        <w:tabs>
          <w:tab w:leader="underscore" w:pos="3966" w:val="right"/>
          <w:tab w:leader="none" w:pos="936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участия в строительстве №</w:t>
        <w:tab/>
        <w:t>(дале</w:t>
        <w:tab/>
        <w:t>по тексту — «Договор ДУ»), согласно которому одна сторона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ОАО «Нижегородкапстрой» (застройщик) обязуется в предусмотренный договором срок своими силами и (или) с привлечением других лиц построить (создать) многоквартирный дом, расположенный по</w:t>
      </w:r>
    </w:p>
    <w:p>
      <w:pPr>
        <w:pStyle w:val="Style8"/>
        <w:tabs>
          <w:tab w:leader="underscore" w:pos="22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адресу</w:t>
        <w:tab/>
        <w:t xml:space="preserve"> и после получения разрешения на ввод в эксплуатацию этого объекта передать</w:t>
      </w:r>
    </w:p>
    <w:p>
      <w:pPr>
        <w:pStyle w:val="Style11"/>
        <w:tabs>
          <w:tab w:leader="none" w:pos="936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участнику долевого строительства соответствующий объект долевого строительства:</w:t>
        <w:tab/>
        <w:t>например,</w:t>
      </w:r>
    </w:p>
    <w:p>
      <w:pPr>
        <w:pStyle w:val="Style13"/>
        <w:tabs>
          <w:tab w:leader="none" w:pos="65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двухкомнатную квартиру № 4 па площадке, правая сторона, расположенную на 8 этаже в б подъезде</w:t>
      </w:r>
      <w:r>
        <w:rPr>
          <w:rStyle w:val="CharStyle15"/>
          <w:i w:val="0"/>
          <w:iCs w:val="0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ориентировочно общей площадью 59,</w:t>
        <w:tab/>
        <w:t>52 кв.м в строящемся</w:t>
      </w:r>
    </w:p>
    <w:p>
      <w:pPr>
        <w:pStyle w:val="Style13"/>
        <w:tabs>
          <w:tab w:leader="none" w:pos="6970" w:val="center"/>
          <w:tab w:leader="none" w:pos="6928" w:val="center"/>
          <w:tab w:leader="none" w:pos="9366" w:val="right"/>
          <w:tab w:leader="none" w:pos="8415" w:val="right"/>
          <w:tab w:leader="none" w:pos="936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шестисекционном жилом доме по адресу</w:t>
      </w:r>
      <w:r>
        <w:rPr>
          <w:rStyle w:val="CharStyle16"/>
          <w:i w:val="0"/>
          <w:iCs w:val="0"/>
        </w:rPr>
        <w:t xml:space="preserve"> </w:t>
        <w:tab/>
        <w:t xml:space="preserve"> ,</w:t>
        <w:tab/>
        <w:t>а</w:t>
        <w:tab/>
        <w:t>другая</w:t>
        <w:tab/>
        <w:t>сторона</w:t>
        <w:tab/>
        <w:t>(участник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27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>
      <w:pPr>
        <w:pStyle w:val="Style8"/>
        <w:tabs>
          <w:tab w:leader="underscore" w:pos="5223" w:val="right"/>
          <w:tab w:leader="underscore" w:pos="55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п. договора ДУ № от .</w:t>
        <w:tab/>
        <w:t>.20</w:t>
        <w:tab/>
        <w:t>года общая сумма договора составляет</w:t>
      </w:r>
    </w:p>
    <w:p>
      <w:pPr>
        <w:pStyle w:val="Style8"/>
        <w:tabs>
          <w:tab w:leader="underscore" w:pos="2464" w:val="right"/>
          <w:tab w:leader="none" w:pos="2668" w:val="center"/>
          <w:tab w:leader="none" w:pos="3710" w:val="right"/>
          <w:tab w:leader="none" w:pos="4668" w:val="right"/>
          <w:tab w:leader="none" w:pos="4668" w:val="right"/>
          <w:tab w:leader="none" w:pos="6000" w:val="right"/>
          <w:tab w:leader="none" w:pos="6804" w:val="center"/>
          <w:tab w:leader="none" w:pos="7657" w:val="right"/>
          <w:tab w:leader="none" w:pos="9366" w:val="right"/>
          <w:tab w:leader="none" w:pos="936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>/цифрами</w:t>
        <w:tab/>
        <w:t>и</w:t>
        <w:tab/>
        <w:t>прописью</w:t>
        <w:tab/>
        <w:t>/</w:t>
        <w:tab/>
        <w:t>рублей.</w:t>
        <w:tab/>
        <w:t>Платежными</w:t>
        <w:tab/>
        <w:t>поручениями</w:t>
        <w:tab/>
        <w:t>от</w:t>
        <w:tab/>
        <w:t>(дата)</w:t>
        <w:tab/>
        <w:t>№</w:t>
      </w:r>
    </w:p>
    <w:p>
      <w:pPr>
        <w:pStyle w:val="Style8"/>
        <w:tabs>
          <w:tab w:leader="underscore" w:pos="7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>участик строительства оплатил сумму договора.</w:t>
      </w:r>
    </w:p>
    <w:p>
      <w:pPr>
        <w:pStyle w:val="Style8"/>
        <w:tabs>
          <w:tab w:leader="underscore" w:pos="49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Согласно п.  договора ДУ № от .</w:t>
        <w:tab/>
        <w:t>.20 года многоквартирный дом должен был</w:t>
      </w:r>
    </w:p>
    <w:p>
      <w:pPr>
        <w:pStyle w:val="Style8"/>
        <w:tabs>
          <w:tab w:leader="underscore" w:pos="522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быть сдан в эксплуатацию </w:t>
      </w:r>
      <w:r>
        <w:rPr>
          <w:rStyle w:val="CharStyle17"/>
        </w:rPr>
        <w:t>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квартале</w:t>
        <w:tab/>
        <w:t>г.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настоящее время квартира не передана.</w:t>
      </w:r>
    </w:p>
    <w:p>
      <w:pPr>
        <w:pStyle w:val="Style8"/>
        <w:tabs>
          <w:tab w:leader="none" w:pos="4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Определением Арбитражного суда Нижегородской области от 31.07.2015г. по делу №</w:t>
        <w:tab/>
        <w:t>А43-8627/2011 (шифр 26-18-5) в отношении открытого акционерного общества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«Нижегородкапстрой» (ИНН 5260159835; ОГРН 1055238182317; 603136, г.Н.Новгород, б-р 60- Летия Октября, 25, 1, помещение П5) введена процедура наблюдения по правилам параграфа 7 Главы IX Федерального Закона №127-ФЗ «О несостоятельности (банкротстве)» - Банкротство застройщиков. Временным управляющим утвержден Лохнин Максим Евгеньевич , член СОАУ «Континент» (СРО) (ИНН 7810274570; ОГРН 1027804888704; 191023, г.Санкт-Петербург, а/я 67).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Объявление о введении наблюдения опубликовано в газете "Коммерсантъ" от </w:t>
      </w:r>
      <w:r>
        <w:rPr>
          <w:rStyle w:val="CharStyle18"/>
        </w:rPr>
        <w:t>15</w:t>
      </w:r>
      <w:r>
        <w:rPr>
          <w:rStyle w:val="CharStyle19"/>
        </w:rPr>
        <w:t>.</w:t>
      </w:r>
      <w:r>
        <w:rPr>
          <w:rStyle w:val="CharStyle18"/>
        </w:rPr>
        <w:t>08</w:t>
      </w:r>
      <w:r>
        <w:rPr>
          <w:rStyle w:val="CharStyle19"/>
        </w:rPr>
        <w:t>.</w:t>
      </w:r>
      <w:r>
        <w:rPr>
          <w:rStyle w:val="CharStyle18"/>
        </w:rPr>
        <w:t>2015</w:t>
      </w:r>
      <w:r>
        <w:rPr>
          <w:rStyle w:val="CharStyle19"/>
        </w:rPr>
        <w:t>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(1.) Включение в реестр требований о передаче жилого помещения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п. 3 ч. 6 ст. 201.1 Федерального закона от 26.10.2002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127-ФЗ "О несостоятельности (банкротстве)" (далее - ФЗ «О несостоятельности (банкротстве)») арбитражный суд вправе признать наличие у участника строительства требования о передаче жилого помещения или денежного требования, в том числе, в случае заключение договора участия в долевом строительстве.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ч. 1 ст. 201.8 ФЗ «О несостоятельности (банкротстве)» с даты вынесения арбитражным судом определения о введении наблюдения в отношении застройщика, в ходе проведения наблюдения и всех последующих процедур, применяемых в деле о банкротстве застройщика, требования о передаче жилых помещений и (или) денежные требования участников строительства, за исключением требований в отношении текущих платежей,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п.1 ст.201.6 ФЗ «О несостоятельности (банкротстве)» требования о передаче жилых помещений предъявляются и рассматриваются в порядке, установленном статьями 71 и 100 настоящего Федерального закона.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п. 1 ст. 71 ФЗ «О несостоятельности (банкротстве)»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наблюдения;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требований;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п. 6 ст. 100 ФЗ «О несостоятельности (банкротстве)»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186" w:line="252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п. 3 ст. 201.6 ФЗ «О несостоятельности (банкротстве)» требование о передаче жилого помещения, признанное обоснованным арбитражным судом, подлежит включению арбитражным управляющим в реестр требований о передаче жилых помещений.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08" w:line="245" w:lineRule="exact"/>
        <w:ind w:left="20" w:right="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изложенного, руководствуясь гл. IX § 7 ФЗ «О несостоятельности (банкротстве)», прошу Суд:</w:t>
      </w:r>
    </w:p>
    <w:p>
      <w:pPr>
        <w:pStyle w:val="Style8"/>
        <w:tabs>
          <w:tab w:leader="underscore" w:pos="48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Включить требование</w:t>
        <w:tab/>
        <w:t>/полное наименование юридического лица или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Ф.И.О. физического лица - участника строительства/ о передаче жилого помещения - например,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двухкомнатной квартиры № 4 на площадке, правая сторона, расположенную на 8 этаже в 6 подъезде, общей площадью 59, 52 кв.м в шестисекционном жилом доме по адресу</w:t>
      </w:r>
    </w:p>
    <w:p>
      <w:pPr>
        <w:pStyle w:val="Style8"/>
        <w:tabs>
          <w:tab w:leader="underscore" w:pos="2968" w:val="center"/>
          <w:tab w:leader="none" w:pos="4588" w:val="right"/>
          <w:tab w:leader="none" w:pos="4732" w:val="left"/>
          <w:tab w:leader="underscore" w:pos="6363" w:val="center"/>
          <w:tab w:leader="none" w:pos="6572" w:val="center"/>
          <w:tab w:leader="none" w:pos="7350" w:val="right"/>
          <w:tab w:leader="none" w:pos="8541" w:val="right"/>
          <w:tab w:leader="none" w:pos="8732" w:val="center"/>
          <w:tab w:leader="none" w:pos="936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, </w:t>
        <w:tab/>
        <w:t>,</w:t>
        <w:tab/>
        <w:t xml:space="preserve"> ,</w:t>
        <w:tab/>
      </w:r>
      <w:r>
        <w:rPr>
          <w:rStyle w:val="CharStyle20"/>
        </w:rPr>
        <w:t>ул.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-</w:t>
        <w:tab/>
        <w:t>в</w:t>
        <w:tab/>
        <w:t>реестр</w:t>
        <w:tab/>
        <w:t>требований</w:t>
        <w:tab/>
        <w:t>к</w:t>
        <w:tab/>
        <w:t>ОАО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06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«Нижегородкапстрой» о передаче жилых помещений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(копии):</w:t>
      </w:r>
    </w:p>
    <w:p>
      <w:pPr>
        <w:pStyle w:val="Style8"/>
        <w:numPr>
          <w:ilvl w:val="0"/>
          <w:numId w:val="1"/>
        </w:numPr>
        <w:tabs>
          <w:tab w:leader="underscore" w:pos="2619" w:val="center"/>
          <w:tab w:leader="underscore" w:pos="29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Договор ДУ № от _.</w:t>
        <w:tab/>
        <w:t>.20</w:t>
        <w:tab/>
        <w:t>года</w:t>
      </w:r>
    </w:p>
    <w:p>
      <w:pPr>
        <w:pStyle w:val="Style8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платежные поручения</w:t>
      </w:r>
    </w:p>
    <w:p>
      <w:pPr>
        <w:pStyle w:val="Style8"/>
        <w:numPr>
          <w:ilvl w:val="0"/>
          <w:numId w:val="1"/>
        </w:numPr>
        <w:tabs>
          <w:tab w:leader="underscore" w:pos="51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04" w:lineRule="exact"/>
        <w:ind w:left="2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почтовые квитанции - направление требования временному управляющему и должнику (2 шт.) Участник строительства </w:t>
        <w:tab/>
      </w:r>
    </w:p>
    <w:sectPr>
      <w:footerReference w:type="even" r:id="rId5"/>
      <w:footerReference w:type="default" r:id="rId6"/>
      <w:footerReference w:type="first" r:id="rId7"/>
      <w:titlePg/>
      <w:footnotePr>
        <w:pos w:val="pageBottom"/>
        <w:numFmt w:val="decimal"/>
        <w:numRestart w:val="continuous"/>
      </w:footnotePr>
      <w:type w:val="continuous"/>
      <w:pgSz w:w="12240" w:h="15840"/>
      <w:pgMar w:top="897" w:left="1075" w:right="1075" w:bottom="739" w:header="0" w:footer="3" w:gutter="718"/>
      <w:rtlGutter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3.35pt;margin-top:771.1pt;width:3.8pt;height:6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553.35pt;margin-top:771.1pt;width:3.8pt;height:6.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517.8pt;margin-top:770.75pt;width:3.4pt;height:6.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Header or footer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Verdana" w:eastAsia="Verdana" w:hAnsi="Verdana" w:cs="Verdana"/>
    </w:rPr>
  </w:style>
  <w:style w:type="character" w:customStyle="1" w:styleId="CharStyle7">
    <w:name w:val="Header or footer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Body text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0">
    <w:name w:val="Body text + 10 pt,Bold"/>
    <w:basedOn w:val="CharStyle9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2">
    <w:name w:val="Body text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Body text (4)_"/>
    <w:basedOn w:val="DefaultParagraphFont"/>
    <w:link w:val="Style13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Body text (4) + 10.5 pt,Not Italic"/>
    <w:basedOn w:val="CharStyle14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6">
    <w:name w:val="Body text (4) + 9 pt,Not Italic"/>
    <w:basedOn w:val="CharStyle1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Body text + 9 pt"/>
    <w:basedOn w:val="CharStyle9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8">
    <w:name w:val="Body text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Body text + Verdana,6 pt,Bold"/>
    <w:basedOn w:val="CharStyle9"/>
    <w:rPr>
      <w:lang w:val="ru-RU" w:eastAsia="ru-RU" w:bidi="ru-RU"/>
      <w:b/>
      <w:bCs/>
      <w:sz w:val="12"/>
      <w:szCs w:val="12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20">
    <w:name w:val="Body text + 11 pt,Italic"/>
    <w:basedOn w:val="CharStyle9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  <w:spacing w:line="248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Header or footer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Verdana" w:eastAsia="Verdana" w:hAnsi="Verdana" w:cs="Verdana"/>
    </w:rPr>
  </w:style>
  <w:style w:type="paragraph" w:customStyle="1" w:styleId="Style8">
    <w:name w:val="Body text"/>
    <w:basedOn w:val="Normal"/>
    <w:link w:val="CharStyle9"/>
    <w:pPr>
      <w:widowControl w:val="0"/>
      <w:shd w:val="clear" w:color="auto" w:fill="FFFFFF"/>
      <w:spacing w:after="180" w:line="248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1">
    <w:name w:val="Body text (3)"/>
    <w:basedOn w:val="Normal"/>
    <w:link w:val="CharStyle12"/>
    <w:pPr>
      <w:widowControl w:val="0"/>
      <w:shd w:val="clear" w:color="auto" w:fill="FFFFFF"/>
      <w:jc w:val="right"/>
      <w:spacing w:before="180" w:line="23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3">
    <w:name w:val="Body text (4)"/>
    <w:basedOn w:val="Normal"/>
    <w:link w:val="CharStyle14"/>
    <w:pPr>
      <w:widowControl w:val="0"/>
      <w:shd w:val="clear" w:color="auto" w:fill="FFFFFF"/>
      <w:jc w:val="both"/>
      <w:spacing w:line="266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