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Rule="auto"/>
        <w:jc w:val="center"/>
        <w:rPr>
          <w:b w:val="1"/>
          <w:sz w:val="34"/>
          <w:szCs w:val="34"/>
        </w:rPr>
      </w:pPr>
      <w:bookmarkStart w:colFirst="0" w:colLast="0" w:name="_aclf2lhbfxme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Комплексные кристаллические удобрения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8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19"/>
        <w:gridCol w:w="8419"/>
        <w:tblGridChange w:id="0">
          <w:tblGrid>
            <w:gridCol w:w="8419"/>
            <w:gridCol w:w="841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jov7enu875c5" w:id="1"/>
            <w:bookmarkEnd w:id="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Название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Когда применять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2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40" w:lineRule="auto"/>
              <w:jc w:val="left"/>
              <w:rPr>
                <w:sz w:val="24"/>
                <w:szCs w:val="24"/>
              </w:rPr>
            </w:pPr>
            <w:bookmarkStart w:colFirst="0" w:colLast="0" w:name="_jeq9dwm51lip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ФИТОФЕРТ ЭНЕРДЖИ NPK 5-55-10 СТАРТ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Первые две недели роста. По листу или под корень. 20 гр на 10 л.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40" w:lineRule="auto"/>
              <w:rPr>
                <w:sz w:val="24"/>
                <w:szCs w:val="24"/>
              </w:rPr>
            </w:pPr>
            <w:bookmarkStart w:colFirst="0" w:colLast="0" w:name="_lqm66bh9y7ui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ФИТОФЕРТ ЭНЕРДЖИ NPK 20-20-20 БАЛАНС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цветения. В период активного роста листвы. По листу. 20 гр на 10 л.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40" w:lineRule="auto"/>
              <w:rPr>
                <w:sz w:val="24"/>
                <w:szCs w:val="24"/>
              </w:rPr>
            </w:pPr>
            <w:bookmarkStart w:colFirst="0" w:colLast="0" w:name="_9nzpiq61o524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ФИТОФЕРТ ЭНЕРДЖИ NPK 15-5-33 АКТИВ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 цветения до роста плодов. Под корень и по листу.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2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40" w:lineRule="auto"/>
              <w:rPr>
                <w:sz w:val="24"/>
                <w:szCs w:val="24"/>
              </w:rPr>
            </w:pPr>
            <w:bookmarkStart w:colFirst="0" w:colLast="0" w:name="_ro82ejgr2cr0" w:id="5"/>
            <w:bookmarkEnd w:id="5"/>
            <w:r w:rsidDel="00000000" w:rsidR="00000000" w:rsidRPr="00000000">
              <w:rPr>
                <w:sz w:val="24"/>
                <w:szCs w:val="24"/>
                <w:rtl w:val="0"/>
              </w:rPr>
              <w:t xml:space="preserve">ФИТОФЕРТ ЭНЕРДЖИ NPK 0-15-45 ФИНИШ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 последнем этапе созревания плодов. По листу и под корень.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МЕЗОУДОБРЕНИЯ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68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19"/>
        <w:gridCol w:w="8419"/>
        <w:tblGridChange w:id="0">
          <w:tblGrid>
            <w:gridCol w:w="8419"/>
            <w:gridCol w:w="841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40" w:lineRule="auto"/>
              <w:rPr>
                <w:sz w:val="24"/>
                <w:szCs w:val="24"/>
              </w:rPr>
            </w:pPr>
            <w:bookmarkStart w:colFirst="0" w:colLast="0" w:name="_qnk3f3qpp9yw" w:id="6"/>
            <w:bookmarkEnd w:id="6"/>
            <w:r w:rsidDel="00000000" w:rsidR="00000000" w:rsidRPr="00000000">
              <w:rPr>
                <w:sz w:val="24"/>
                <w:szCs w:val="24"/>
                <w:rtl w:val="0"/>
              </w:rPr>
              <w:t xml:space="preserve">ФИТОФЕРТ ЭНЕРДЖИ NPK 2-0-0 КАЛЬЦИФОЛ 25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любой период. По листу.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2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40" w:lineRule="auto"/>
              <w:rPr>
                <w:sz w:val="24"/>
                <w:szCs w:val="24"/>
              </w:rPr>
            </w:pPr>
            <w:bookmarkStart w:colFirst="0" w:colLast="0" w:name="_mwfm17s0u5tk" w:id="7"/>
            <w:bookmarkEnd w:id="7"/>
            <w:r w:rsidDel="00000000" w:rsidR="00000000" w:rsidRPr="00000000">
              <w:rPr>
                <w:sz w:val="24"/>
                <w:szCs w:val="24"/>
                <w:rtl w:val="0"/>
              </w:rPr>
              <w:t xml:space="preserve">ФИТОФЕРТ ЭНЕРДЖИ NPK 1-0-0 БОРМАКС 20В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Для сельхозкультур чувствительных к недостатку бора — яблоня, земляника, сахарная свекла и других. По листу.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40" w:lineRule="auto"/>
              <w:rPr>
                <w:sz w:val="24"/>
                <w:szCs w:val="24"/>
              </w:rPr>
            </w:pPr>
            <w:bookmarkStart w:colFirst="0" w:colLast="0" w:name="_3pbk165jf0ut" w:id="8"/>
            <w:bookmarkEnd w:id="8"/>
            <w:r w:rsidDel="00000000" w:rsidR="00000000" w:rsidRPr="00000000">
              <w:rPr>
                <w:sz w:val="24"/>
                <w:szCs w:val="24"/>
                <w:rtl w:val="0"/>
              </w:rPr>
              <w:t xml:space="preserve">ФИТОФЕРТ ЭНЕРДЖИ NPK 2-0-0 Fe МАКС-10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 нехватке железа. В хелатной форме. По листу.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Rule="auto"/>
        <w:jc w:val="center"/>
        <w:rPr>
          <w:b w:val="1"/>
          <w:sz w:val="34"/>
          <w:szCs w:val="34"/>
        </w:rPr>
      </w:pPr>
      <w:bookmarkStart w:colFirst="0" w:colLast="0" w:name="_xhpxn8bt17cc" w:id="9"/>
      <w:bookmarkEnd w:id="9"/>
      <w:r w:rsidDel="00000000" w:rsidR="00000000" w:rsidRPr="00000000">
        <w:rPr>
          <w:b w:val="1"/>
          <w:sz w:val="34"/>
          <w:szCs w:val="34"/>
          <w:rtl w:val="0"/>
        </w:rPr>
        <w:t xml:space="preserve">Биостимулирующие удобрения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68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19"/>
        <w:gridCol w:w="8419"/>
        <w:tblGridChange w:id="0">
          <w:tblGrid>
            <w:gridCol w:w="8419"/>
            <w:gridCol w:w="841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40" w:lineRule="auto"/>
              <w:rPr>
                <w:sz w:val="24"/>
                <w:szCs w:val="24"/>
              </w:rPr>
            </w:pPr>
            <w:bookmarkStart w:colFirst="0" w:colLast="0" w:name="_botnp7empqjk" w:id="10"/>
            <w:bookmarkEnd w:id="10"/>
            <w:r w:rsidDel="00000000" w:rsidR="00000000" w:rsidRPr="00000000">
              <w:rPr>
                <w:sz w:val="24"/>
                <w:szCs w:val="24"/>
                <w:rtl w:val="0"/>
              </w:rPr>
              <w:t xml:space="preserve">ФИТОФЕРТ ЭНЕРДЖИ NPK 1-0-2 РИЗОФЛЕКС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Жидкий биостимулятор на растительной основе, используемый на этапе пересадки саженцев и на ранних этапах развития культур.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40" w:lineRule="auto"/>
              <w:rPr>
                <w:sz w:val="24"/>
                <w:szCs w:val="24"/>
              </w:rPr>
            </w:pPr>
            <w:bookmarkStart w:colFirst="0" w:colLast="0" w:name="_nd8j4hftzt6y" w:id="11"/>
            <w:bookmarkEnd w:id="11"/>
            <w:r w:rsidDel="00000000" w:rsidR="00000000" w:rsidRPr="00000000">
              <w:rPr>
                <w:sz w:val="24"/>
                <w:szCs w:val="24"/>
                <w:rtl w:val="0"/>
              </w:rPr>
              <w:t xml:space="preserve">ФИТОФЕРТ ЭНЕРДЖИ NPK 2-0-2 БИОФЛЕКС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Биостимулятор на основе морских водорослей с добавлением аминокислот и полисахаридов создан для обеспечения сбалансированного роста растения и его плодов. Стимулирует деление клеток и их удлинение, рост корней, цветение и завязь плодов, увеличивает урожайность и улучшает качество плодов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line="240" w:lineRule="auto"/>
              <w:rPr>
                <w:sz w:val="24"/>
                <w:szCs w:val="24"/>
              </w:rPr>
            </w:pPr>
            <w:bookmarkStart w:colFirst="0" w:colLast="0" w:name="_ndi0sg62zdde" w:id="12"/>
            <w:bookmarkEnd w:id="12"/>
            <w:r w:rsidDel="00000000" w:rsidR="00000000" w:rsidRPr="00000000">
              <w:rPr>
                <w:sz w:val="24"/>
                <w:szCs w:val="24"/>
                <w:rtl w:val="0"/>
              </w:rPr>
              <w:t xml:space="preserve">ФИТОФЕРТ ЭНЕРДЖИ NPK 4-0-0 АМИНОФЛЕКС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Используется на ранних стадиях развития и в стрессогенных условиях (холод, высокие температуры, повреждения).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0" w:top="566.9291338582677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