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8F" w:rsidRPr="00281EC3" w:rsidRDefault="0038568F" w:rsidP="00FF5A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1EC3">
        <w:rPr>
          <w:rFonts w:ascii="Times New Roman" w:hAnsi="Times New Roman"/>
          <w:b/>
          <w:sz w:val="24"/>
          <w:szCs w:val="24"/>
        </w:rPr>
        <w:t>Применение прокладок «Энергия жизни» в комплексном лечении хронического н</w:t>
      </w:r>
      <w:r w:rsidRPr="00281EC3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специфического цервицита</w:t>
      </w:r>
    </w:p>
    <w:p w:rsidR="0038568F" w:rsidRPr="00281EC3" w:rsidRDefault="0038568F" w:rsidP="00FF5A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568F" w:rsidRPr="00281EC3" w:rsidRDefault="0038568F" w:rsidP="00FF5A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1EC3">
        <w:rPr>
          <w:rFonts w:ascii="Times New Roman" w:hAnsi="Times New Roman"/>
          <w:sz w:val="24"/>
          <w:szCs w:val="24"/>
        </w:rPr>
        <w:t>В период с мая по декабрь 2012 года в женской консультации негосударственного учре</w:t>
      </w:r>
      <w:r w:rsidRPr="00281EC3">
        <w:rPr>
          <w:rFonts w:ascii="Times New Roman" w:hAnsi="Times New Roman"/>
          <w:sz w:val="24"/>
          <w:szCs w:val="24"/>
        </w:rPr>
        <w:t>ж</w:t>
      </w:r>
      <w:r w:rsidRPr="00281EC3">
        <w:rPr>
          <w:rFonts w:ascii="Times New Roman" w:hAnsi="Times New Roman"/>
          <w:sz w:val="24"/>
          <w:szCs w:val="24"/>
        </w:rPr>
        <w:t>дения здравоохранения «Отделенческая клиническая больница на ст. Барнаул ОАО «РЖД» проведены клинические исследования «Возможности применения лечебно-профилактических прокладок «Энергия жизни» в комплексном лечении кондиломатоза аногенитальной области».</w:t>
      </w:r>
    </w:p>
    <w:p w:rsidR="0038568F" w:rsidRPr="00281EC3" w:rsidRDefault="0038568F" w:rsidP="00FF5A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568F" w:rsidRPr="00281EC3" w:rsidRDefault="0038568F" w:rsidP="00FF5A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1EC3">
        <w:rPr>
          <w:rFonts w:ascii="Times New Roman" w:hAnsi="Times New Roman"/>
          <w:sz w:val="24"/>
          <w:szCs w:val="24"/>
        </w:rPr>
        <w:t>Цервицит – это воспаление шейки матки. Данное заболевание может быть вызвано к</w:t>
      </w:r>
      <w:r w:rsidRPr="00281EC3">
        <w:rPr>
          <w:rFonts w:ascii="Times New Roman" w:hAnsi="Times New Roman"/>
          <w:sz w:val="24"/>
          <w:szCs w:val="24"/>
        </w:rPr>
        <w:t>и</w:t>
      </w:r>
      <w:r w:rsidRPr="00281EC3">
        <w:rPr>
          <w:rFonts w:ascii="Times New Roman" w:hAnsi="Times New Roman"/>
          <w:sz w:val="24"/>
          <w:szCs w:val="24"/>
        </w:rPr>
        <w:t>шечной палочкой, стрептококками, стафилококками, заболеваниями, передающимися п</w:t>
      </w:r>
      <w:r w:rsidRPr="00281EC3">
        <w:rPr>
          <w:rFonts w:ascii="Times New Roman" w:hAnsi="Times New Roman"/>
          <w:sz w:val="24"/>
          <w:szCs w:val="24"/>
        </w:rPr>
        <w:t>о</w:t>
      </w:r>
      <w:r w:rsidRPr="00281EC3">
        <w:rPr>
          <w:rFonts w:ascii="Times New Roman" w:hAnsi="Times New Roman"/>
          <w:sz w:val="24"/>
          <w:szCs w:val="24"/>
        </w:rPr>
        <w:t>ловым путем (хламидиоз, трихомониаз, вирусные заболевания и т. д.). Чаще всего встр</w:t>
      </w:r>
      <w:r w:rsidRPr="00281EC3">
        <w:rPr>
          <w:rFonts w:ascii="Times New Roman" w:hAnsi="Times New Roman"/>
          <w:sz w:val="24"/>
          <w:szCs w:val="24"/>
        </w:rPr>
        <w:t>е</w:t>
      </w:r>
      <w:r w:rsidRPr="00281EC3">
        <w:rPr>
          <w:rFonts w:ascii="Times New Roman" w:hAnsi="Times New Roman"/>
          <w:sz w:val="24"/>
          <w:szCs w:val="24"/>
        </w:rPr>
        <w:t>чается у женщин детородного возраста. Проявлениями острого цервицита являются обильные слизистые или гноевидные выделения, зуд, реже – боли внизу живота. В хрон</w:t>
      </w:r>
      <w:r w:rsidRPr="00281EC3">
        <w:rPr>
          <w:rFonts w:ascii="Times New Roman" w:hAnsi="Times New Roman"/>
          <w:sz w:val="24"/>
          <w:szCs w:val="24"/>
        </w:rPr>
        <w:t>и</w:t>
      </w:r>
      <w:r w:rsidRPr="00281EC3">
        <w:rPr>
          <w:rFonts w:ascii="Times New Roman" w:hAnsi="Times New Roman"/>
          <w:sz w:val="24"/>
          <w:szCs w:val="24"/>
        </w:rPr>
        <w:t xml:space="preserve">ческой стадии выделения могут быть незначительными. </w:t>
      </w:r>
    </w:p>
    <w:p w:rsidR="0038568F" w:rsidRPr="00281EC3" w:rsidRDefault="0038568F" w:rsidP="00FF5A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8568F" w:rsidRPr="00281EC3" w:rsidRDefault="0038568F" w:rsidP="00FF5A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1EC3">
        <w:rPr>
          <w:rFonts w:ascii="Times New Roman" w:hAnsi="Times New Roman"/>
          <w:bCs/>
          <w:color w:val="000000"/>
          <w:sz w:val="24"/>
          <w:szCs w:val="24"/>
        </w:rPr>
        <w:t>Исследования указывают на существенную роль цервицита в формировании эрозии и дисплазии шейки матки, в развитии воспалительных заболеваний матки и ее придатков, в нарушениях репродуктивной функции. Хронический цервицит может стать причиной бесплодия, невынашивания беременности, преждевременных родов, внутриутробного и</w:t>
      </w:r>
      <w:r w:rsidRPr="00281EC3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281EC3">
        <w:rPr>
          <w:rFonts w:ascii="Times New Roman" w:hAnsi="Times New Roman"/>
          <w:bCs/>
          <w:color w:val="000000"/>
          <w:sz w:val="24"/>
          <w:szCs w:val="24"/>
        </w:rPr>
        <w:t>фицирования плода, послеродовых гнойно-септических осложнений.</w:t>
      </w:r>
    </w:p>
    <w:p w:rsidR="0038568F" w:rsidRPr="00281EC3" w:rsidRDefault="0038568F" w:rsidP="00FF5A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8568F" w:rsidRPr="00281EC3" w:rsidRDefault="0038568F" w:rsidP="00FF5A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1EC3">
        <w:rPr>
          <w:rFonts w:ascii="Times New Roman" w:hAnsi="Times New Roman"/>
          <w:bCs/>
          <w:color w:val="000000"/>
          <w:sz w:val="24"/>
          <w:szCs w:val="24"/>
        </w:rPr>
        <w:t>Неуклонный рост хронических цервицитов обусловлен ранним началом половой жизни, наличием нескольких партнеров; ростом числа иммунодефицитных состояний на фоне ухудшения экологической обстановки, нерационального питания, стрессов, «бума сам</w:t>
      </w:r>
      <w:r w:rsidRPr="00281EC3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281EC3">
        <w:rPr>
          <w:rFonts w:ascii="Times New Roman" w:hAnsi="Times New Roman"/>
          <w:bCs/>
          <w:color w:val="000000"/>
          <w:sz w:val="24"/>
          <w:szCs w:val="24"/>
        </w:rPr>
        <w:t>диагностики и самолечения» с бесконтрольным применением лекарственных средств, в первую очередь антибактериальных препаратов.</w:t>
      </w:r>
    </w:p>
    <w:p w:rsidR="0038568F" w:rsidRPr="00281EC3" w:rsidRDefault="0038568F" w:rsidP="00FF5A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8568F" w:rsidRPr="00281EC3" w:rsidRDefault="0038568F" w:rsidP="00FF5A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1EC3">
        <w:rPr>
          <w:rFonts w:ascii="Times New Roman" w:hAnsi="Times New Roman"/>
          <w:bCs/>
          <w:color w:val="000000"/>
          <w:sz w:val="24"/>
          <w:szCs w:val="24"/>
        </w:rPr>
        <w:t>Целью настоящего исследования явилась оценка эффективности использования лечебно-профилактических прокладок «Энергия жизни» в комплексном лечении хронического н</w:t>
      </w:r>
      <w:r w:rsidRPr="00281EC3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281EC3">
        <w:rPr>
          <w:rFonts w:ascii="Times New Roman" w:hAnsi="Times New Roman"/>
          <w:bCs/>
          <w:color w:val="000000"/>
          <w:sz w:val="24"/>
          <w:szCs w:val="24"/>
        </w:rPr>
        <w:t>специфического цервицита.</w:t>
      </w:r>
    </w:p>
    <w:p w:rsidR="0038568F" w:rsidRPr="00281EC3" w:rsidRDefault="0038568F" w:rsidP="00FF5A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8568F" w:rsidRPr="00281EC3" w:rsidRDefault="0038568F" w:rsidP="00FF5A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C-Light" w:hAnsi="Times New Roman"/>
          <w:bCs/>
          <w:iCs/>
          <w:color w:val="231F20"/>
          <w:sz w:val="24"/>
          <w:szCs w:val="24"/>
        </w:rPr>
      </w:pPr>
      <w:r w:rsidRPr="00281EC3">
        <w:rPr>
          <w:rFonts w:ascii="Times New Roman" w:hAnsi="Times New Roman"/>
          <w:bCs/>
          <w:color w:val="000000"/>
          <w:sz w:val="24"/>
          <w:szCs w:val="24"/>
        </w:rPr>
        <w:t>Пациенток разделили на 2 группы: 1-я группа получала «Сафоцид» 4 таблетки однокра</w:t>
      </w:r>
      <w:r w:rsidRPr="00281EC3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281EC3">
        <w:rPr>
          <w:rFonts w:ascii="Times New Roman" w:hAnsi="Times New Roman"/>
          <w:bCs/>
          <w:color w:val="000000"/>
          <w:sz w:val="24"/>
          <w:szCs w:val="24"/>
        </w:rPr>
        <w:t>но, «Тержинан» по 1 вагинальной таблетке 1 раз в сутки в течение 6 дней с одновреме</w:t>
      </w:r>
      <w:r w:rsidRPr="00281EC3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281EC3">
        <w:rPr>
          <w:rFonts w:ascii="Times New Roman" w:hAnsi="Times New Roman"/>
          <w:bCs/>
          <w:color w:val="000000"/>
          <w:sz w:val="24"/>
          <w:szCs w:val="24"/>
        </w:rPr>
        <w:t>ным использованием лечебно-профилактических прокладок «Энергия жизни», 2-я группа получала только лекарственные препараты.</w:t>
      </w:r>
    </w:p>
    <w:p w:rsidR="0038568F" w:rsidRPr="00281EC3" w:rsidRDefault="0038568F" w:rsidP="00FF5A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8568F" w:rsidRPr="00281EC3" w:rsidRDefault="0038568F" w:rsidP="00FF5A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1EC3">
        <w:rPr>
          <w:rFonts w:ascii="Times New Roman" w:hAnsi="Times New Roman"/>
          <w:bCs/>
          <w:color w:val="000000"/>
          <w:sz w:val="24"/>
          <w:szCs w:val="24"/>
        </w:rPr>
        <w:t>Обследование пациенток обеих групп проводили до начала лечения, через 1 неделю, через 1 месяц и через 3 месяца после лечения. Диагноз базировался на оценке данных анамнеза, субъективных и объективных клинических признаках, результатах лабораторного обсл</w:t>
      </w:r>
      <w:r w:rsidRPr="00281EC3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281EC3">
        <w:rPr>
          <w:rFonts w:ascii="Times New Roman" w:hAnsi="Times New Roman"/>
          <w:bCs/>
          <w:color w:val="000000"/>
          <w:sz w:val="24"/>
          <w:szCs w:val="24"/>
        </w:rPr>
        <w:t xml:space="preserve">дования. </w:t>
      </w:r>
    </w:p>
    <w:p w:rsidR="0038568F" w:rsidRPr="00281EC3" w:rsidRDefault="0038568F" w:rsidP="00FF5A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C-Light" w:hAnsi="Times New Roman"/>
          <w:b/>
          <w:bCs/>
          <w:i/>
          <w:iCs/>
          <w:color w:val="231F20"/>
          <w:sz w:val="24"/>
          <w:szCs w:val="24"/>
        </w:rPr>
      </w:pPr>
    </w:p>
    <w:p w:rsidR="0038568F" w:rsidRPr="00281EC3" w:rsidRDefault="0038568F" w:rsidP="00FF5A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GaramondC-Light" w:hAnsi="Times New Roman"/>
          <w:b/>
          <w:bCs/>
          <w:iCs/>
          <w:color w:val="231F20"/>
          <w:sz w:val="24"/>
          <w:szCs w:val="24"/>
        </w:rPr>
      </w:pPr>
      <w:r w:rsidRPr="00281EC3">
        <w:rPr>
          <w:rFonts w:ascii="Times New Roman" w:eastAsia="GaramondC-Light" w:hAnsi="Times New Roman"/>
          <w:b/>
          <w:bCs/>
          <w:iCs/>
          <w:color w:val="231F20"/>
          <w:sz w:val="24"/>
          <w:szCs w:val="24"/>
        </w:rPr>
        <w:t>Эффективность лечения пациенток</w:t>
      </w:r>
    </w:p>
    <w:p w:rsidR="0038568F" w:rsidRPr="00281EC3" w:rsidRDefault="0038568F" w:rsidP="00FF5A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GaramondC-Light" w:hAnsi="Times New Roman"/>
          <w:b/>
          <w:bCs/>
          <w:iCs/>
          <w:color w:val="231F20"/>
          <w:sz w:val="24"/>
          <w:szCs w:val="24"/>
        </w:rPr>
      </w:pPr>
    </w:p>
    <w:tbl>
      <w:tblPr>
        <w:tblW w:w="9664" w:type="dxa"/>
        <w:jc w:val="center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9"/>
        <w:gridCol w:w="993"/>
        <w:gridCol w:w="992"/>
        <w:gridCol w:w="992"/>
        <w:gridCol w:w="1099"/>
        <w:gridCol w:w="992"/>
        <w:gridCol w:w="1051"/>
        <w:gridCol w:w="236"/>
      </w:tblGrid>
      <w:tr w:rsidR="0038568F" w:rsidRPr="00281EC3" w:rsidTr="00881BDF">
        <w:trPr>
          <w:gridAfter w:val="1"/>
          <w:wAfter w:w="236" w:type="dxa"/>
          <w:jc w:val="center"/>
        </w:trPr>
        <w:tc>
          <w:tcPr>
            <w:tcW w:w="3309" w:type="dxa"/>
            <w:vMerge w:val="restart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Критерий эффективности л</w:t>
            </w: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1985" w:type="dxa"/>
            <w:gridSpan w:val="2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Через 7 дней, %</w:t>
            </w:r>
          </w:p>
        </w:tc>
        <w:tc>
          <w:tcPr>
            <w:tcW w:w="2091" w:type="dxa"/>
            <w:gridSpan w:val="2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Через 1 мес., %</w:t>
            </w:r>
          </w:p>
        </w:tc>
        <w:tc>
          <w:tcPr>
            <w:tcW w:w="2043" w:type="dxa"/>
            <w:gridSpan w:val="2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Через 3 мес., %</w:t>
            </w:r>
          </w:p>
        </w:tc>
      </w:tr>
      <w:tr w:rsidR="0038568F" w:rsidRPr="00281EC3" w:rsidTr="00881BDF">
        <w:trPr>
          <w:jc w:val="center"/>
        </w:trPr>
        <w:tc>
          <w:tcPr>
            <w:tcW w:w="3309" w:type="dxa"/>
            <w:vMerge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1-я гр.</w:t>
            </w:r>
          </w:p>
        </w:tc>
        <w:tc>
          <w:tcPr>
            <w:tcW w:w="992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2-я гр.</w:t>
            </w:r>
          </w:p>
        </w:tc>
        <w:tc>
          <w:tcPr>
            <w:tcW w:w="992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1-я гр.</w:t>
            </w:r>
          </w:p>
        </w:tc>
        <w:tc>
          <w:tcPr>
            <w:tcW w:w="1099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2-я гр.</w:t>
            </w:r>
          </w:p>
        </w:tc>
        <w:tc>
          <w:tcPr>
            <w:tcW w:w="992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1-я гр.</w:t>
            </w:r>
          </w:p>
        </w:tc>
        <w:tc>
          <w:tcPr>
            <w:tcW w:w="1051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2-я гр.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etersburgC-Bold" w:hAnsi="Times New Roman"/>
                <w:sz w:val="24"/>
                <w:szCs w:val="24"/>
              </w:rPr>
            </w:pPr>
          </w:p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etersburgC-Bold" w:hAnsi="Times New Roman"/>
                <w:sz w:val="24"/>
                <w:szCs w:val="24"/>
              </w:rPr>
            </w:pPr>
          </w:p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etersburgC-Bold" w:hAnsi="Times New Roman"/>
                <w:sz w:val="24"/>
                <w:szCs w:val="24"/>
              </w:rPr>
            </w:pPr>
          </w:p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etersburgC-Bold" w:hAnsi="Times New Roman"/>
                <w:sz w:val="24"/>
                <w:szCs w:val="24"/>
              </w:rPr>
            </w:pPr>
          </w:p>
        </w:tc>
      </w:tr>
      <w:tr w:rsidR="0038568F" w:rsidRPr="00281EC3" w:rsidTr="00881BDF">
        <w:trPr>
          <w:trHeight w:val="57"/>
          <w:jc w:val="center"/>
        </w:trPr>
        <w:tc>
          <w:tcPr>
            <w:tcW w:w="3309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Зуд</w:t>
            </w:r>
          </w:p>
        </w:tc>
        <w:tc>
          <w:tcPr>
            <w:tcW w:w="993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PetersburgC-Bold" w:hAnsi="Times New Roman"/>
                <w:sz w:val="24"/>
                <w:szCs w:val="24"/>
              </w:rPr>
            </w:pPr>
            <w:r w:rsidRPr="00281EC3">
              <w:rPr>
                <w:rFonts w:ascii="Times New Roman" w:eastAsia="PetersburgC-Bold" w:hAnsi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PetersburgC-Bold" w:hAnsi="Times New Roman"/>
                <w:sz w:val="24"/>
                <w:szCs w:val="24"/>
              </w:rPr>
            </w:pPr>
            <w:r w:rsidRPr="00281EC3">
              <w:rPr>
                <w:rFonts w:ascii="Times New Roman" w:eastAsia="PetersburgC-Bold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PetersburgC-Bold" w:hAnsi="Times New Roman"/>
                <w:sz w:val="24"/>
                <w:szCs w:val="24"/>
              </w:rPr>
            </w:pPr>
            <w:r w:rsidRPr="00281EC3">
              <w:rPr>
                <w:rFonts w:ascii="Times New Roman" w:eastAsia="PetersburgC-Bold" w:hAnsi="Times New Roman"/>
                <w:sz w:val="24"/>
                <w:szCs w:val="24"/>
              </w:rPr>
              <w:t>29,4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etersburgC-Bold" w:hAnsi="Times New Roman"/>
                <w:sz w:val="24"/>
                <w:szCs w:val="24"/>
              </w:rPr>
            </w:pPr>
          </w:p>
        </w:tc>
      </w:tr>
      <w:tr w:rsidR="0038568F" w:rsidRPr="00281EC3" w:rsidTr="00881BDF">
        <w:trPr>
          <w:trHeight w:val="57"/>
          <w:jc w:val="center"/>
        </w:trPr>
        <w:tc>
          <w:tcPr>
            <w:tcW w:w="3309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Жжение</w:t>
            </w:r>
          </w:p>
        </w:tc>
        <w:tc>
          <w:tcPr>
            <w:tcW w:w="993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PetersburgC-Bold" w:hAnsi="Times New Roman"/>
                <w:sz w:val="24"/>
                <w:szCs w:val="24"/>
              </w:rPr>
            </w:pPr>
            <w:r w:rsidRPr="00281EC3">
              <w:rPr>
                <w:rFonts w:ascii="Times New Roman" w:eastAsia="PetersburgC-Bold" w:hAnsi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PetersburgC-Bold" w:hAnsi="Times New Roman"/>
                <w:sz w:val="24"/>
                <w:szCs w:val="24"/>
              </w:rPr>
            </w:pPr>
            <w:r w:rsidRPr="00281EC3">
              <w:rPr>
                <w:rFonts w:ascii="Times New Roman" w:eastAsia="PetersburgC-Bold" w:hAnsi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PetersburgC-Bold" w:hAnsi="Times New Roman"/>
                <w:sz w:val="24"/>
                <w:szCs w:val="24"/>
              </w:rPr>
            </w:pPr>
            <w:r w:rsidRPr="00281EC3">
              <w:rPr>
                <w:rFonts w:ascii="Times New Roman" w:eastAsia="PetersburgC-Bold" w:hAnsi="Times New Roman"/>
                <w:sz w:val="24"/>
                <w:szCs w:val="24"/>
              </w:rPr>
              <w:t>29,4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etersburgC-Bold" w:hAnsi="Times New Roman"/>
                <w:sz w:val="24"/>
                <w:szCs w:val="24"/>
              </w:rPr>
            </w:pPr>
          </w:p>
        </w:tc>
      </w:tr>
      <w:tr w:rsidR="0038568F" w:rsidRPr="00281EC3" w:rsidTr="00881BDF">
        <w:trPr>
          <w:trHeight w:val="57"/>
          <w:jc w:val="center"/>
        </w:trPr>
        <w:tc>
          <w:tcPr>
            <w:tcW w:w="3309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Контактные кровотечения</w:t>
            </w:r>
          </w:p>
        </w:tc>
        <w:tc>
          <w:tcPr>
            <w:tcW w:w="993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PetersburgC-Bold" w:hAnsi="Times New Roman"/>
                <w:sz w:val="24"/>
                <w:szCs w:val="24"/>
              </w:rPr>
            </w:pPr>
            <w:r w:rsidRPr="00281EC3">
              <w:rPr>
                <w:rFonts w:ascii="Times New Roman" w:eastAsia="PetersburgC-Bold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PetersburgC-Bold" w:hAnsi="Times New Roman"/>
                <w:sz w:val="24"/>
                <w:szCs w:val="24"/>
              </w:rPr>
            </w:pPr>
            <w:r w:rsidRPr="00281EC3">
              <w:rPr>
                <w:rFonts w:ascii="Times New Roman" w:eastAsia="PetersburgC-Bold" w:hAnsi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PetersburgC-Bold" w:hAnsi="Times New Roman"/>
                <w:sz w:val="24"/>
                <w:szCs w:val="24"/>
              </w:rPr>
            </w:pPr>
            <w:r w:rsidRPr="00281EC3">
              <w:rPr>
                <w:rFonts w:ascii="Times New Roman" w:eastAsia="PetersburgC-Bold" w:hAnsi="Times New Roman"/>
                <w:sz w:val="24"/>
                <w:szCs w:val="24"/>
              </w:rPr>
              <w:t>11,7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etersburgC-Bold" w:hAnsi="Times New Roman"/>
                <w:sz w:val="24"/>
                <w:szCs w:val="24"/>
              </w:rPr>
            </w:pPr>
          </w:p>
        </w:tc>
      </w:tr>
      <w:tr w:rsidR="0038568F" w:rsidRPr="00281EC3" w:rsidTr="00881BDF">
        <w:trPr>
          <w:trHeight w:val="57"/>
          <w:jc w:val="center"/>
        </w:trPr>
        <w:tc>
          <w:tcPr>
            <w:tcW w:w="3309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 внизу живота</w:t>
            </w:r>
          </w:p>
        </w:tc>
        <w:tc>
          <w:tcPr>
            <w:tcW w:w="993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PetersburgC-Bold" w:hAnsi="Times New Roman"/>
                <w:sz w:val="24"/>
                <w:szCs w:val="24"/>
              </w:rPr>
            </w:pPr>
            <w:r w:rsidRPr="00281EC3">
              <w:rPr>
                <w:rFonts w:ascii="Times New Roman" w:eastAsia="PetersburgC-Bold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099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PetersburgC-Bold" w:hAnsi="Times New Roman"/>
                <w:sz w:val="24"/>
                <w:szCs w:val="24"/>
              </w:rPr>
            </w:pPr>
            <w:r w:rsidRPr="00281EC3">
              <w:rPr>
                <w:rFonts w:ascii="Times New Roman" w:eastAsia="PetersburgC-Bold" w:hAnsi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PetersburgC-Bold" w:hAnsi="Times New Roman"/>
                <w:sz w:val="24"/>
                <w:szCs w:val="24"/>
              </w:rPr>
            </w:pPr>
            <w:r w:rsidRPr="00281EC3">
              <w:rPr>
                <w:rFonts w:ascii="Times New Roman" w:eastAsia="PetersburgC-Bold" w:hAnsi="Times New Roman"/>
                <w:sz w:val="24"/>
                <w:szCs w:val="24"/>
              </w:rPr>
              <w:t>17,6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etersburgC-Bold" w:hAnsi="Times New Roman"/>
                <w:sz w:val="24"/>
                <w:szCs w:val="24"/>
              </w:rPr>
            </w:pPr>
          </w:p>
        </w:tc>
      </w:tr>
      <w:tr w:rsidR="0038568F" w:rsidRPr="00281EC3" w:rsidTr="00881BDF">
        <w:trPr>
          <w:trHeight w:val="525"/>
          <w:jc w:val="center"/>
        </w:trPr>
        <w:tc>
          <w:tcPr>
            <w:tcW w:w="3309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Выделения из половых путей</w:t>
            </w:r>
          </w:p>
        </w:tc>
        <w:tc>
          <w:tcPr>
            <w:tcW w:w="993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PetersburgC-Bold" w:hAnsi="Times New Roman"/>
                <w:sz w:val="24"/>
                <w:szCs w:val="24"/>
              </w:rPr>
            </w:pPr>
            <w:r w:rsidRPr="00281EC3">
              <w:rPr>
                <w:rFonts w:ascii="Times New Roman" w:eastAsia="PetersburgC-Bold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099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PetersburgC-Bold" w:hAnsi="Times New Roman"/>
                <w:sz w:val="24"/>
                <w:szCs w:val="24"/>
              </w:rPr>
            </w:pPr>
            <w:r w:rsidRPr="00281EC3">
              <w:rPr>
                <w:rFonts w:ascii="Times New Roman" w:eastAsia="PetersburgC-Bold" w:hAnsi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PetersburgC-Bold" w:hAnsi="Times New Roman"/>
                <w:sz w:val="24"/>
                <w:szCs w:val="24"/>
              </w:rPr>
            </w:pPr>
            <w:r w:rsidRPr="00281EC3">
              <w:rPr>
                <w:rFonts w:ascii="Times New Roman" w:eastAsia="PetersburgC-Bold" w:hAnsi="Times New Roman"/>
                <w:sz w:val="24"/>
                <w:szCs w:val="24"/>
              </w:rPr>
              <w:t>35,3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etersburgC-Bold" w:hAnsi="Times New Roman"/>
                <w:sz w:val="24"/>
                <w:szCs w:val="24"/>
              </w:rPr>
            </w:pPr>
          </w:p>
        </w:tc>
      </w:tr>
      <w:tr w:rsidR="0038568F" w:rsidRPr="00281EC3" w:rsidTr="00881BDF">
        <w:trPr>
          <w:trHeight w:val="525"/>
          <w:jc w:val="center"/>
        </w:trPr>
        <w:tc>
          <w:tcPr>
            <w:tcW w:w="3309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Рецидив заболевания</w:t>
            </w:r>
          </w:p>
        </w:tc>
        <w:tc>
          <w:tcPr>
            <w:tcW w:w="993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PetersburgC-Bold" w:hAnsi="Times New Roman"/>
                <w:sz w:val="24"/>
                <w:szCs w:val="24"/>
              </w:rPr>
            </w:pPr>
            <w:r w:rsidRPr="00281EC3">
              <w:rPr>
                <w:rFonts w:ascii="Times New Roman" w:eastAsia="PetersburgC-Bold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PetersburgC-Bold" w:hAnsi="Times New Roman"/>
                <w:sz w:val="24"/>
                <w:szCs w:val="24"/>
              </w:rPr>
            </w:pPr>
            <w:r w:rsidRPr="00281EC3">
              <w:rPr>
                <w:rFonts w:ascii="Times New Roman" w:eastAsia="PetersburgC-Bold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051" w:type="dxa"/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PetersburgC-Bold" w:hAnsi="Times New Roman"/>
                <w:sz w:val="24"/>
                <w:szCs w:val="24"/>
              </w:rPr>
            </w:pPr>
            <w:r w:rsidRPr="00281EC3">
              <w:rPr>
                <w:rFonts w:ascii="Times New Roman" w:eastAsia="PetersburgC-Bold" w:hAnsi="Times New Roman"/>
                <w:sz w:val="24"/>
                <w:szCs w:val="24"/>
              </w:rPr>
              <w:t>47</w:t>
            </w:r>
          </w:p>
        </w:tc>
        <w:tc>
          <w:tcPr>
            <w:tcW w:w="236" w:type="dxa"/>
            <w:tcBorders>
              <w:right w:val="nil"/>
            </w:tcBorders>
          </w:tcPr>
          <w:p w:rsidR="0038568F" w:rsidRPr="00281EC3" w:rsidRDefault="0038568F" w:rsidP="00FF5A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etersburgC-Bold" w:hAnsi="Times New Roman"/>
                <w:sz w:val="24"/>
                <w:szCs w:val="24"/>
              </w:rPr>
            </w:pPr>
          </w:p>
        </w:tc>
      </w:tr>
    </w:tbl>
    <w:p w:rsidR="0038568F" w:rsidRPr="00281EC3" w:rsidRDefault="0038568F" w:rsidP="00FF5A0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8568F" w:rsidRPr="00281EC3" w:rsidRDefault="0038568F" w:rsidP="00881B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1EC3">
        <w:rPr>
          <w:rFonts w:ascii="Times New Roman" w:hAnsi="Times New Roman"/>
          <w:sz w:val="24"/>
          <w:szCs w:val="24"/>
        </w:rPr>
        <w:t>Использование прокладок «Энергия жизни»: 2 раза в день в течение 6 дней, затем 1 раз в день в течение 3 месяцев.</w:t>
      </w:r>
    </w:p>
    <w:p w:rsidR="0038568F" w:rsidRPr="00281EC3" w:rsidRDefault="0038568F" w:rsidP="00FF5A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1EC3">
        <w:rPr>
          <w:rFonts w:ascii="Times New Roman" w:hAnsi="Times New Roman"/>
          <w:sz w:val="24"/>
          <w:szCs w:val="24"/>
        </w:rPr>
        <w:t>Во время менструации пациентки применяли дневные и ночные прокладки «Энергия трав» для критических дней.</w:t>
      </w:r>
    </w:p>
    <w:p w:rsidR="0038568F" w:rsidRPr="00281EC3" w:rsidRDefault="0038568F" w:rsidP="00FF5A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568F" w:rsidRPr="00281EC3" w:rsidRDefault="0038568F" w:rsidP="00FF5A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1EC3">
        <w:rPr>
          <w:rFonts w:ascii="Times New Roman" w:hAnsi="Times New Roman"/>
          <w:sz w:val="24"/>
          <w:szCs w:val="24"/>
        </w:rPr>
        <w:t>Все пациентки 1-й группы наблюдения отметили высокую переносимость и комфортность проводимого лечения с использованием лечебно-профилактических прокладок «Энергия жизни» и «Энергия трав» для критических дней. Побочных реакций при использовании не наблюдали.</w:t>
      </w:r>
    </w:p>
    <w:p w:rsidR="0038568F" w:rsidRPr="00281EC3" w:rsidRDefault="0038568F" w:rsidP="00FF5A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arnockPro-Regular" w:hAnsi="Times New Roman"/>
          <w:b/>
          <w:sz w:val="24"/>
          <w:szCs w:val="24"/>
        </w:rPr>
      </w:pPr>
    </w:p>
    <w:p w:rsidR="0038568F" w:rsidRPr="00FF5A0F" w:rsidRDefault="0038568F" w:rsidP="00196C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1EC3">
        <w:rPr>
          <w:rFonts w:ascii="Times New Roman" w:eastAsia="WarnockPro-Regular" w:hAnsi="Times New Roman"/>
          <w:b/>
          <w:sz w:val="24"/>
          <w:szCs w:val="24"/>
        </w:rPr>
        <w:t xml:space="preserve">Вывод: </w:t>
      </w:r>
      <w:r w:rsidRPr="00281EC3">
        <w:rPr>
          <w:rFonts w:ascii="Times New Roman" w:hAnsi="Times New Roman"/>
          <w:sz w:val="24"/>
          <w:szCs w:val="24"/>
        </w:rPr>
        <w:t>применение в комплексном лечении хронического неспецифического цервицита лечебно-профилактических прокладок «Энергия жизни» и «Энергия трав» (для критич</w:t>
      </w:r>
      <w:r w:rsidRPr="00281EC3">
        <w:rPr>
          <w:rFonts w:ascii="Times New Roman" w:hAnsi="Times New Roman"/>
          <w:sz w:val="24"/>
          <w:szCs w:val="24"/>
        </w:rPr>
        <w:t>е</w:t>
      </w:r>
      <w:r w:rsidRPr="00281EC3">
        <w:rPr>
          <w:rFonts w:ascii="Times New Roman" w:hAnsi="Times New Roman"/>
          <w:sz w:val="24"/>
          <w:szCs w:val="24"/>
        </w:rPr>
        <w:t>ских дней) повышает эффективность лечения, сводит к минимуму частоту рецидивов и делает лечение более комфортным для пациентки.</w:t>
      </w:r>
    </w:p>
    <w:sectPr w:rsidR="0038568F" w:rsidRPr="00FF5A0F" w:rsidSect="009E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C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7D04"/>
    <w:multiLevelType w:val="hybridMultilevel"/>
    <w:tmpl w:val="95902D52"/>
    <w:lvl w:ilvl="0" w:tplc="11FAF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B2E0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C426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8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B848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345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AA4E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8CC2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06D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39C27694"/>
    <w:multiLevelType w:val="hybridMultilevel"/>
    <w:tmpl w:val="C0284B22"/>
    <w:lvl w:ilvl="0" w:tplc="DE24C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236D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409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26D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7D0C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264A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B107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214D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18F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7F3"/>
    <w:rsid w:val="00025B7F"/>
    <w:rsid w:val="00065629"/>
    <w:rsid w:val="00067890"/>
    <w:rsid w:val="00086492"/>
    <w:rsid w:val="000C52F9"/>
    <w:rsid w:val="000E0AB3"/>
    <w:rsid w:val="000F2D51"/>
    <w:rsid w:val="001518FD"/>
    <w:rsid w:val="00170056"/>
    <w:rsid w:val="0017576C"/>
    <w:rsid w:val="00196CE0"/>
    <w:rsid w:val="0025051E"/>
    <w:rsid w:val="0025188D"/>
    <w:rsid w:val="0026545A"/>
    <w:rsid w:val="00281EC3"/>
    <w:rsid w:val="00290A4C"/>
    <w:rsid w:val="002B27F3"/>
    <w:rsid w:val="002C1F85"/>
    <w:rsid w:val="0033241B"/>
    <w:rsid w:val="00360612"/>
    <w:rsid w:val="0038568F"/>
    <w:rsid w:val="00386B16"/>
    <w:rsid w:val="003C652C"/>
    <w:rsid w:val="003D03F6"/>
    <w:rsid w:val="0044366E"/>
    <w:rsid w:val="00473BB0"/>
    <w:rsid w:val="00493E55"/>
    <w:rsid w:val="00570C66"/>
    <w:rsid w:val="005A3532"/>
    <w:rsid w:val="005E222E"/>
    <w:rsid w:val="00601A1E"/>
    <w:rsid w:val="00657E05"/>
    <w:rsid w:val="006B5424"/>
    <w:rsid w:val="0071358D"/>
    <w:rsid w:val="0072445D"/>
    <w:rsid w:val="007B2BC6"/>
    <w:rsid w:val="007D5084"/>
    <w:rsid w:val="007E0827"/>
    <w:rsid w:val="008016DC"/>
    <w:rsid w:val="008266BD"/>
    <w:rsid w:val="00834D04"/>
    <w:rsid w:val="00881BDF"/>
    <w:rsid w:val="00895851"/>
    <w:rsid w:val="008E61A9"/>
    <w:rsid w:val="009D27A7"/>
    <w:rsid w:val="009E7CED"/>
    <w:rsid w:val="00A072B3"/>
    <w:rsid w:val="00AA31A0"/>
    <w:rsid w:val="00AA457E"/>
    <w:rsid w:val="00AB2DA0"/>
    <w:rsid w:val="00AB31E4"/>
    <w:rsid w:val="00B13254"/>
    <w:rsid w:val="00B40B0E"/>
    <w:rsid w:val="00B63AE8"/>
    <w:rsid w:val="00B94D9A"/>
    <w:rsid w:val="00BA4E46"/>
    <w:rsid w:val="00BE4200"/>
    <w:rsid w:val="00BF33A6"/>
    <w:rsid w:val="00C039A2"/>
    <w:rsid w:val="00C40056"/>
    <w:rsid w:val="00C43FBE"/>
    <w:rsid w:val="00C57959"/>
    <w:rsid w:val="00CB5A47"/>
    <w:rsid w:val="00CB5F25"/>
    <w:rsid w:val="00D245AF"/>
    <w:rsid w:val="00D414BE"/>
    <w:rsid w:val="00D6456F"/>
    <w:rsid w:val="00D76B92"/>
    <w:rsid w:val="00DA361A"/>
    <w:rsid w:val="00DC1F0F"/>
    <w:rsid w:val="00E32026"/>
    <w:rsid w:val="00E65BDF"/>
    <w:rsid w:val="00E864F9"/>
    <w:rsid w:val="00EB3443"/>
    <w:rsid w:val="00F33948"/>
    <w:rsid w:val="00F51051"/>
    <w:rsid w:val="00F77ED0"/>
    <w:rsid w:val="00F9612A"/>
    <w:rsid w:val="00F969EE"/>
    <w:rsid w:val="00F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531</Words>
  <Characters>3028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прокладок «Энергии жизни»</dc:title>
  <dc:subject/>
  <dc:creator>User</dc:creator>
  <cp:keywords/>
  <dc:description/>
  <cp:lastModifiedBy>or3</cp:lastModifiedBy>
  <cp:revision>8</cp:revision>
  <dcterms:created xsi:type="dcterms:W3CDTF">2013-02-12T04:38:00Z</dcterms:created>
  <dcterms:modified xsi:type="dcterms:W3CDTF">2013-02-15T04:34:00Z</dcterms:modified>
</cp:coreProperties>
</file>