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4A" w:rsidRPr="00217E4A" w:rsidRDefault="00217E4A" w:rsidP="00217E4A">
      <w:pPr>
        <w:spacing w:before="100" w:beforeAutospacing="1" w:after="100" w:afterAutospacing="1" w:line="300" w:lineRule="atLeast"/>
        <w:jc w:val="center"/>
        <w:outlineLvl w:val="2"/>
        <w:rPr>
          <w:rFonts w:ascii="Arial" w:eastAsia="Times New Roman" w:hAnsi="Arial" w:cs="Arial"/>
          <w:b/>
          <w:bCs/>
          <w:color w:val="880000"/>
          <w:sz w:val="28"/>
          <w:szCs w:val="28"/>
          <w:lang w:eastAsia="ru-RU"/>
        </w:rPr>
      </w:pPr>
      <w:r w:rsidRPr="00217E4A">
        <w:rPr>
          <w:rFonts w:ascii="Arial" w:eastAsia="Times New Roman" w:hAnsi="Arial" w:cs="Arial"/>
          <w:b/>
          <w:bCs/>
          <w:color w:val="880000"/>
          <w:sz w:val="28"/>
          <w:szCs w:val="28"/>
          <w:lang w:eastAsia="ru-RU"/>
        </w:rPr>
        <w:t>Законопроект № 434598-6</w:t>
      </w:r>
    </w:p>
    <w:p w:rsidR="00217E4A" w:rsidRPr="00217E4A" w:rsidRDefault="00217E4A" w:rsidP="00217E4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474747"/>
          <w:sz w:val="28"/>
          <w:szCs w:val="28"/>
          <w:lang w:eastAsia="ru-RU"/>
        </w:rPr>
      </w:pPr>
      <w:r w:rsidRPr="00217E4A">
        <w:rPr>
          <w:rFonts w:ascii="Arial" w:eastAsia="Times New Roman" w:hAnsi="Arial" w:cs="Arial"/>
          <w:b/>
          <w:bCs/>
          <w:color w:val="474747"/>
          <w:sz w:val="28"/>
          <w:szCs w:val="28"/>
          <w:lang w:eastAsia="ru-RU"/>
        </w:rPr>
        <w:t>О внесении изменений в отдельные законодательные акты Российской Федерации, направленных на повышение качества строительного контроля</w:t>
      </w:r>
      <w:r w:rsidRPr="00217E4A">
        <w:rPr>
          <w:rFonts w:ascii="Arial" w:eastAsia="Times New Roman" w:hAnsi="Arial" w:cs="Arial"/>
          <w:b/>
          <w:bCs/>
          <w:color w:val="474747"/>
          <w:sz w:val="28"/>
          <w:szCs w:val="28"/>
          <w:lang w:eastAsia="ru-RU"/>
        </w:rPr>
        <w:br/>
      </w:r>
      <w:r w:rsidRPr="00217E4A">
        <w:rPr>
          <w:rFonts w:ascii="Arial" w:eastAsia="Times New Roman" w:hAnsi="Arial" w:cs="Arial"/>
          <w:b/>
          <w:bCs/>
          <w:caps/>
          <w:color w:val="ACACAC"/>
          <w:sz w:val="28"/>
          <w:szCs w:val="28"/>
          <w:lang w:eastAsia="ru-RU"/>
        </w:rPr>
        <w:t>находится на рассмотрении</w:t>
      </w:r>
    </w:p>
    <w:p w:rsidR="00217E4A" w:rsidRPr="00217E4A" w:rsidRDefault="001E1C5F" w:rsidP="00217E4A">
      <w:pPr>
        <w:spacing w:after="0" w:line="240" w:lineRule="auto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hyperlink r:id="rId5" w:tgtFrame="_blank" w:history="1">
        <w:r w:rsidR="00217E4A" w:rsidRPr="00217E4A">
          <w:rPr>
            <w:rFonts w:ascii="Tahoma" w:eastAsia="Times New Roman" w:hAnsi="Tahoma" w:cs="Tahoma"/>
            <w:b/>
            <w:bCs/>
            <w:color w:val="3777A8"/>
            <w:sz w:val="28"/>
            <w:szCs w:val="28"/>
            <w:u w:val="single"/>
            <w:lang w:eastAsia="ru-RU"/>
          </w:rPr>
          <w:t>Напечатать</w:t>
        </w:r>
      </w:hyperlink>
      <w:hyperlink r:id="rId6" w:tgtFrame="_blank" w:history="1">
        <w:r w:rsidR="00217E4A" w:rsidRPr="00217E4A">
          <w:rPr>
            <w:rFonts w:ascii="Tahoma" w:eastAsia="Times New Roman" w:hAnsi="Tahoma" w:cs="Tahoma"/>
            <w:b/>
            <w:bCs/>
            <w:vanish/>
            <w:color w:val="3777A8"/>
            <w:sz w:val="28"/>
            <w:szCs w:val="28"/>
            <w:u w:val="single"/>
            <w:lang w:eastAsia="ru-RU"/>
          </w:rPr>
          <w:t>Напечатать</w:t>
        </w:r>
      </w:hyperlink>
    </w:p>
    <w:p w:rsidR="00217E4A" w:rsidRPr="00217E4A" w:rsidRDefault="00217E4A" w:rsidP="00217E4A">
      <w:pPr>
        <w:spacing w:after="0" w:line="240" w:lineRule="auto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r w:rsidRPr="00217E4A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Паспортные данные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5703"/>
      </w:tblGrid>
      <w:tr w:rsidR="00217E4A" w:rsidRPr="00217E4A" w:rsidTr="00217E4A">
        <w:tc>
          <w:tcPr>
            <w:tcW w:w="2000" w:type="pct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E4A" w:rsidRPr="00217E4A" w:rsidRDefault="00217E4A" w:rsidP="00217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4747"/>
                <w:sz w:val="28"/>
                <w:szCs w:val="28"/>
                <w:lang w:eastAsia="ru-RU"/>
              </w:rPr>
            </w:pPr>
            <w:r w:rsidRPr="00217E4A">
              <w:rPr>
                <w:rFonts w:ascii="Arial" w:eastAsia="Times New Roman" w:hAnsi="Arial" w:cs="Arial"/>
                <w:b/>
                <w:bCs/>
                <w:color w:val="474747"/>
                <w:sz w:val="28"/>
                <w:szCs w:val="28"/>
                <w:lang w:eastAsia="ru-RU"/>
              </w:rPr>
              <w:t>Субъект права законодательной инициативы</w:t>
            </w:r>
          </w:p>
        </w:tc>
        <w:tc>
          <w:tcPr>
            <w:tcW w:w="0" w:type="auto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E4A" w:rsidRPr="00217E4A" w:rsidRDefault="00217E4A" w:rsidP="00217E4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217E4A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 xml:space="preserve">Депутаты Государственной Думы А.Г.Сидякин, Г.В.Аникеев, </w:t>
            </w:r>
            <w:proofErr w:type="spellStart"/>
            <w:r w:rsidRPr="00217E4A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В.Е.Булавинов</w:t>
            </w:r>
            <w:proofErr w:type="spellEnd"/>
          </w:p>
        </w:tc>
      </w:tr>
      <w:tr w:rsidR="00217E4A" w:rsidRPr="00217E4A" w:rsidTr="00217E4A">
        <w:tc>
          <w:tcPr>
            <w:tcW w:w="2000" w:type="pct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E4A" w:rsidRPr="00217E4A" w:rsidRDefault="00217E4A" w:rsidP="00217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4747"/>
                <w:sz w:val="28"/>
                <w:szCs w:val="28"/>
                <w:lang w:eastAsia="ru-RU"/>
              </w:rPr>
            </w:pPr>
            <w:r w:rsidRPr="00217E4A">
              <w:rPr>
                <w:rFonts w:ascii="Arial" w:eastAsia="Times New Roman" w:hAnsi="Arial" w:cs="Arial"/>
                <w:b/>
                <w:bCs/>
                <w:color w:val="474747"/>
                <w:sz w:val="28"/>
                <w:szCs w:val="28"/>
                <w:lang w:eastAsia="ru-RU"/>
              </w:rPr>
              <w:t>Форма законопроекта</w:t>
            </w:r>
          </w:p>
        </w:tc>
        <w:tc>
          <w:tcPr>
            <w:tcW w:w="0" w:type="auto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E4A" w:rsidRPr="00217E4A" w:rsidRDefault="00217E4A" w:rsidP="00217E4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217E4A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Федеральный закон</w:t>
            </w:r>
          </w:p>
        </w:tc>
      </w:tr>
      <w:tr w:rsidR="00217E4A" w:rsidRPr="00217E4A" w:rsidTr="00217E4A">
        <w:tc>
          <w:tcPr>
            <w:tcW w:w="2000" w:type="pct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E4A" w:rsidRPr="00217E4A" w:rsidRDefault="00217E4A" w:rsidP="00217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4747"/>
                <w:sz w:val="28"/>
                <w:szCs w:val="28"/>
                <w:lang w:eastAsia="ru-RU"/>
              </w:rPr>
            </w:pPr>
            <w:r w:rsidRPr="00217E4A">
              <w:rPr>
                <w:rFonts w:ascii="Arial" w:eastAsia="Times New Roman" w:hAnsi="Arial" w:cs="Arial"/>
                <w:b/>
                <w:bCs/>
                <w:color w:val="474747"/>
                <w:sz w:val="28"/>
                <w:szCs w:val="28"/>
                <w:lang w:eastAsia="ru-RU"/>
              </w:rPr>
              <w:t>Профильный комитет</w:t>
            </w:r>
          </w:p>
        </w:tc>
        <w:tc>
          <w:tcPr>
            <w:tcW w:w="0" w:type="auto"/>
            <w:tcBorders>
              <w:bottom w:val="dotted" w:sz="6" w:space="0" w:color="ACACA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E4A" w:rsidRPr="00217E4A" w:rsidRDefault="00217E4A" w:rsidP="00217E4A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</w:pPr>
            <w:r w:rsidRPr="00217E4A">
              <w:rPr>
                <w:rFonts w:ascii="Arial" w:eastAsia="Times New Roman" w:hAnsi="Arial" w:cs="Arial"/>
                <w:color w:val="474747"/>
                <w:sz w:val="28"/>
                <w:szCs w:val="28"/>
                <w:lang w:eastAsia="ru-RU"/>
              </w:rPr>
              <w:t>Комитет Государственной Думы по земельным отношениям и строительству</w:t>
            </w:r>
          </w:p>
        </w:tc>
      </w:tr>
    </w:tbl>
    <w:p w:rsidR="00FF3C5A" w:rsidRDefault="00FF3C5A">
      <w:pPr>
        <w:rPr>
          <w:sz w:val="28"/>
          <w:szCs w:val="28"/>
        </w:rPr>
      </w:pPr>
    </w:p>
    <w:p w:rsidR="00C75A02" w:rsidRDefault="00C75A02">
      <w:pPr>
        <w:rPr>
          <w:sz w:val="28"/>
          <w:szCs w:val="28"/>
        </w:rPr>
      </w:pPr>
    </w:p>
    <w:p w:rsidR="00C75A02" w:rsidRPr="00C75A02" w:rsidRDefault="00C75A02" w:rsidP="00C75A02">
      <w:pPr>
        <w:tabs>
          <w:tab w:val="left" w:pos="360"/>
        </w:tabs>
        <w:spacing w:after="0" w:line="36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C75A02" w:rsidRPr="00C75A02" w:rsidRDefault="00C75A02" w:rsidP="00C75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75A02" w:rsidRPr="00C75A02" w:rsidRDefault="00C75A02" w:rsidP="00C75A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Федеральный закон</w:t>
      </w:r>
    </w:p>
    <w:p w:rsidR="00C75A02" w:rsidRPr="00C75A02" w:rsidRDefault="00C75A02" w:rsidP="00C75A0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отдельные законодательные акты Российской Федерации, направленных на повышение качества строительного контроля»</w:t>
      </w:r>
    </w:p>
    <w:p w:rsidR="00C75A02" w:rsidRPr="00C75A02" w:rsidRDefault="00C75A02" w:rsidP="00C75A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A02" w:rsidRPr="00C75A02" w:rsidRDefault="00C75A02" w:rsidP="00C7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C75A02" w:rsidRPr="00C75A02" w:rsidRDefault="00C75A02" w:rsidP="00C75A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72"/>
      <w:r w:rsidRPr="00C75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Градостроительный кодекс Российской Федерации ("Собрание законодательства РФ", 03.01.2005, N 1 (часть 1), ст. 16) следующие изменения:</w:t>
      </w:r>
    </w:p>
    <w:p w:rsidR="00C75A02" w:rsidRPr="00C75A02" w:rsidRDefault="00C75A02" w:rsidP="00C75A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статью 1 пунктом 26 следующего содержания: </w:t>
      </w:r>
    </w:p>
    <w:p w:rsidR="00C75A02" w:rsidRPr="00C75A02" w:rsidRDefault="00C75A02" w:rsidP="00C75A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«26) специализированная организация, осуществляющая строительный контроль – юридическое лицо, </w:t>
      </w:r>
      <w:r w:rsidRPr="00C75A02">
        <w:rPr>
          <w:rFonts w:ascii="Times New Roman" w:eastAsia="Times New Roman" w:hAnsi="Times New Roman" w:cs="Times New Roman"/>
          <w:sz w:val="28"/>
          <w:szCs w:val="28"/>
        </w:rPr>
        <w:t xml:space="preserve">действующее на профессиональной основе, имеющее необходимый опыт, квалифицированный персонал и соответствующее оборудование, и осуществляющая на основании договора строительный контроль в процессе строительства, реконструкции, </w:t>
      </w:r>
      <w:r w:rsidRPr="00C75A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капитального ремонта объектов капитального </w:t>
      </w:r>
      <w:proofErr w:type="gramStart"/>
      <w:r w:rsidRPr="00C75A02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Pr="00C75A02">
        <w:rPr>
          <w:rFonts w:ascii="Times New Roman" w:eastAsia="Times New Roman" w:hAnsi="Times New Roman" w:cs="Times New Roman"/>
          <w:sz w:val="28"/>
          <w:szCs w:val="28"/>
        </w:rPr>
        <w:t xml:space="preserve"> в целях проверки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участка». </w:t>
      </w:r>
    </w:p>
    <w:p w:rsidR="00C75A02" w:rsidRPr="00C75A02" w:rsidRDefault="00C75A02" w:rsidP="00C75A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A0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7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 статьи 53 изложить в следующей редакции: </w:t>
      </w:r>
    </w:p>
    <w:p w:rsidR="00C75A02" w:rsidRPr="00C75A02" w:rsidRDefault="00C75A02" w:rsidP="00C75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Строительный контроль проводится лицом, осуществляющим строительство. </w:t>
      </w:r>
      <w:r w:rsidRPr="00C75A02">
        <w:rPr>
          <w:rFonts w:ascii="Times New Roman" w:eastAsia="Times New Roman" w:hAnsi="Times New Roman" w:cs="Times New Roman"/>
          <w:sz w:val="28"/>
          <w:szCs w:val="28"/>
        </w:rPr>
        <w:t xml:space="preserve">В случае осуществления строительства, реконструкции, капитального ремонта на основании договора строительный контроль проводится также специализированной организацией, осуществляющей строительный контроль. </w:t>
      </w:r>
      <w:r w:rsidRPr="00C75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 или технический заказчик по своей инициативе может привлекать лицо, осуществляющее подготовку проектной документации, для проверки соответствия выполняемых работ проектной документации».</w:t>
      </w:r>
    </w:p>
    <w:p w:rsidR="00C75A02" w:rsidRPr="00C75A02" w:rsidRDefault="00C75A02" w:rsidP="00C75A0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A02">
        <w:rPr>
          <w:rFonts w:ascii="Times New Roman" w:eastAsia="Times New Roman" w:hAnsi="Times New Roman" w:cs="Times New Roman"/>
          <w:sz w:val="28"/>
          <w:szCs w:val="28"/>
        </w:rPr>
        <w:t>часть 1 статьи 55.13 после слов «объектов капитального строительства» дополнить словами:</w:t>
      </w:r>
    </w:p>
    <w:p w:rsidR="00C75A02" w:rsidRPr="00C75A02" w:rsidRDefault="00C75A02" w:rsidP="00C75A0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A02">
        <w:rPr>
          <w:rFonts w:ascii="Times New Roman" w:eastAsia="Times New Roman" w:hAnsi="Times New Roman" w:cs="Times New Roman"/>
          <w:sz w:val="28"/>
          <w:szCs w:val="28"/>
        </w:rPr>
        <w:t xml:space="preserve">«,а также порядка осуществления ими строительного контроля,установленного </w:t>
      </w:r>
      <w:hyperlink r:id="rId7" w:history="1">
        <w:r w:rsidRPr="00C75A0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C75A0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Федерации».</w:t>
      </w:r>
    </w:p>
    <w:p w:rsidR="00C75A02" w:rsidRPr="00C75A02" w:rsidRDefault="00C75A02" w:rsidP="00C75A0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A02" w:rsidRPr="00C75A02" w:rsidRDefault="00C75A02" w:rsidP="00C75A0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A02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C75A02" w:rsidRPr="00C75A02" w:rsidRDefault="00C75A02" w:rsidP="00C75A0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A02">
        <w:rPr>
          <w:rFonts w:ascii="Times New Roman" w:eastAsia="Times New Roman" w:hAnsi="Times New Roman" w:cs="Times New Roman"/>
          <w:sz w:val="28"/>
          <w:szCs w:val="28"/>
        </w:rPr>
        <w:t xml:space="preserve">Внести в статью 93 Федерального закона от 05 апреля 2013 года № 44-ФЗ «О  контрактной системе в сфере закупок товаров, работ, услуг для обеспечения государственных и муниципальных нужд» ("Собрание законодательства РФ", 08.04.2013, N 14, ст. 1652) изменение, </w:t>
      </w:r>
      <w:proofErr w:type="gramStart"/>
      <w:r w:rsidRPr="00C75A02">
        <w:rPr>
          <w:rFonts w:ascii="Times New Roman" w:eastAsia="Times New Roman" w:hAnsi="Times New Roman" w:cs="Times New Roman"/>
          <w:sz w:val="28"/>
          <w:szCs w:val="28"/>
        </w:rPr>
        <w:t>дополнив часть первую пунктом тридцать пять</w:t>
      </w:r>
      <w:proofErr w:type="gramEnd"/>
      <w:r w:rsidRPr="00C75A02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C75A02" w:rsidRPr="00C75A02" w:rsidRDefault="00C75A02" w:rsidP="00C75A02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A02">
        <w:rPr>
          <w:rFonts w:ascii="Times New Roman" w:eastAsia="Times New Roman" w:hAnsi="Times New Roman" w:cs="Times New Roman"/>
          <w:sz w:val="28"/>
          <w:szCs w:val="28"/>
        </w:rPr>
        <w:t xml:space="preserve">«35) заключение контракта на оказание услуг по осуществлению строительного </w:t>
      </w:r>
      <w:proofErr w:type="gramStart"/>
      <w:r w:rsidRPr="00C75A0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75A02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строительством, реконструкцией, капитальным ремонтом объекта капитального строительства со специализированной организацией, осуществляющей строительный контроль, в уставном капитале которого доля участия Российской Федерации, субъекта </w:t>
      </w:r>
      <w:r w:rsidRPr="00C75A02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муниципального образования в совокупности превышает пятьдесят процентов».</w:t>
      </w:r>
    </w:p>
    <w:p w:rsidR="00C75A02" w:rsidRPr="00C75A02" w:rsidRDefault="00C75A02" w:rsidP="00C75A02">
      <w:pP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A02" w:rsidRPr="00C75A02" w:rsidRDefault="00C75A02" w:rsidP="00C75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C75A02" w:rsidRPr="00C75A02" w:rsidRDefault="00C75A02" w:rsidP="00C75A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</w:t>
      </w:r>
    </w:p>
    <w:p w:rsidR="00C75A02" w:rsidRPr="00C75A02" w:rsidRDefault="00C75A02" w:rsidP="00C75A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A02" w:rsidRPr="00C75A02" w:rsidRDefault="00C75A02" w:rsidP="00C75A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A02" w:rsidRPr="00C75A02" w:rsidRDefault="00C75A02" w:rsidP="00C75A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75A02" w:rsidRPr="00C75A02" w:rsidRDefault="00C75A02" w:rsidP="00C75A02">
      <w:pPr>
        <w:spacing w:after="0" w:line="360" w:lineRule="auto"/>
        <w:ind w:right="652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A02">
        <w:rPr>
          <w:rFonts w:ascii="Times New Roman" w:eastAsia="Calibri" w:hAnsi="Times New Roman" w:cs="Times New Roman"/>
          <w:sz w:val="28"/>
          <w:szCs w:val="28"/>
        </w:rPr>
        <w:t>Президент</w:t>
      </w:r>
    </w:p>
    <w:p w:rsidR="00C75A02" w:rsidRPr="00C75A02" w:rsidRDefault="00C75A02" w:rsidP="00C75A02">
      <w:pPr>
        <w:spacing w:after="0" w:line="360" w:lineRule="auto"/>
        <w:ind w:right="6521"/>
        <w:jc w:val="center"/>
        <w:rPr>
          <w:rFonts w:ascii="Calibri" w:eastAsia="Calibri" w:hAnsi="Calibri" w:cs="Times New Roman"/>
          <w:sz w:val="28"/>
          <w:szCs w:val="28"/>
        </w:rPr>
      </w:pPr>
      <w:r w:rsidRPr="00C75A02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C75A02" w:rsidRDefault="00C75A02">
      <w:pPr>
        <w:rPr>
          <w:sz w:val="28"/>
          <w:szCs w:val="28"/>
        </w:rPr>
      </w:pPr>
    </w:p>
    <w:p w:rsidR="00A35BCB" w:rsidRDefault="00A35BCB">
      <w:pPr>
        <w:rPr>
          <w:sz w:val="28"/>
          <w:szCs w:val="28"/>
        </w:rPr>
      </w:pPr>
    </w:p>
    <w:p w:rsidR="00A35BCB" w:rsidRDefault="00A35BCB">
      <w:pPr>
        <w:rPr>
          <w:sz w:val="28"/>
          <w:szCs w:val="28"/>
        </w:rPr>
      </w:pPr>
    </w:p>
    <w:p w:rsidR="00A35BCB" w:rsidRDefault="00A35BCB">
      <w:pPr>
        <w:rPr>
          <w:sz w:val="28"/>
          <w:szCs w:val="28"/>
        </w:rPr>
      </w:pPr>
    </w:p>
    <w:p w:rsidR="00A35BCB" w:rsidRDefault="00A35BCB">
      <w:pPr>
        <w:rPr>
          <w:sz w:val="28"/>
          <w:szCs w:val="28"/>
        </w:rPr>
      </w:pPr>
    </w:p>
    <w:p w:rsidR="00A35BCB" w:rsidRDefault="00A35BCB">
      <w:pPr>
        <w:rPr>
          <w:sz w:val="28"/>
          <w:szCs w:val="28"/>
        </w:rPr>
      </w:pPr>
    </w:p>
    <w:p w:rsidR="00A35BCB" w:rsidRDefault="00A35BCB">
      <w:pPr>
        <w:rPr>
          <w:sz w:val="28"/>
          <w:szCs w:val="28"/>
        </w:rPr>
      </w:pPr>
    </w:p>
    <w:p w:rsidR="00A35BCB" w:rsidRDefault="00A35BCB">
      <w:pPr>
        <w:rPr>
          <w:sz w:val="28"/>
          <w:szCs w:val="28"/>
        </w:rPr>
      </w:pPr>
    </w:p>
    <w:p w:rsidR="00A35BCB" w:rsidRDefault="00A35BCB">
      <w:pPr>
        <w:rPr>
          <w:sz w:val="28"/>
          <w:szCs w:val="28"/>
        </w:rPr>
      </w:pPr>
    </w:p>
    <w:p w:rsidR="00A35BCB" w:rsidRDefault="00A35BCB">
      <w:pPr>
        <w:rPr>
          <w:sz w:val="28"/>
          <w:szCs w:val="28"/>
        </w:rPr>
      </w:pPr>
    </w:p>
    <w:p w:rsidR="00A35BCB" w:rsidRDefault="00A35BCB">
      <w:pPr>
        <w:rPr>
          <w:sz w:val="28"/>
          <w:szCs w:val="28"/>
        </w:rPr>
      </w:pPr>
    </w:p>
    <w:p w:rsidR="00A35BCB" w:rsidRDefault="00A35BCB">
      <w:pPr>
        <w:rPr>
          <w:sz w:val="28"/>
          <w:szCs w:val="28"/>
        </w:rPr>
      </w:pPr>
    </w:p>
    <w:p w:rsidR="00A35BCB" w:rsidRDefault="00A35BCB">
      <w:pPr>
        <w:rPr>
          <w:sz w:val="28"/>
          <w:szCs w:val="28"/>
        </w:rPr>
      </w:pPr>
    </w:p>
    <w:p w:rsidR="00A35BCB" w:rsidRDefault="00A35BCB">
      <w:pPr>
        <w:rPr>
          <w:sz w:val="28"/>
          <w:szCs w:val="28"/>
        </w:rPr>
      </w:pPr>
    </w:p>
    <w:p w:rsidR="00A35BCB" w:rsidRDefault="00A35BCB">
      <w:pPr>
        <w:rPr>
          <w:sz w:val="28"/>
          <w:szCs w:val="28"/>
        </w:rPr>
      </w:pPr>
    </w:p>
    <w:p w:rsidR="00A35BCB" w:rsidRDefault="00A35BCB">
      <w:pPr>
        <w:rPr>
          <w:sz w:val="28"/>
          <w:szCs w:val="28"/>
        </w:rPr>
      </w:pPr>
    </w:p>
    <w:p w:rsidR="00A35BCB" w:rsidRDefault="00A35BCB" w:rsidP="00A35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35BCB" w:rsidRDefault="00A35BCB" w:rsidP="00A35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федерального закона</w:t>
      </w:r>
    </w:p>
    <w:p w:rsidR="00A35BCB" w:rsidRDefault="00A35BCB" w:rsidP="00A35B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в отдельные законодательные акты Российской Федерации, направленных на повышение качества строительного контроля</w:t>
      </w:r>
      <w:r>
        <w:rPr>
          <w:b/>
          <w:bCs/>
          <w:sz w:val="28"/>
          <w:szCs w:val="28"/>
        </w:rPr>
        <w:t>»</w:t>
      </w:r>
    </w:p>
    <w:p w:rsidR="00A35BCB" w:rsidRDefault="00A35BCB" w:rsidP="00A35BCB">
      <w:pPr>
        <w:spacing w:line="360" w:lineRule="auto"/>
        <w:rPr>
          <w:b/>
          <w:sz w:val="20"/>
          <w:szCs w:val="20"/>
        </w:rPr>
      </w:pPr>
    </w:p>
    <w:p w:rsidR="00A35BCB" w:rsidRDefault="00A35BCB" w:rsidP="00A35BC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строительной отрасли существует ряд серьезных проблем, одной из которых является слабый строительный контроль. Данное обстоятельство существенно снижает качество строительства и приводит к  увеличению эксплуатационных расходов, а в более серьезных случаях к обрушениям зданий и сооружений.</w:t>
      </w:r>
    </w:p>
    <w:p w:rsidR="00A35BCB" w:rsidRDefault="00A35BCB" w:rsidP="00A35BC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обратиться к статистике, то мы увидим, что в течение 2012 года в России произошло 58 случаев крупных обрушений зданий. Для сравнения в Европе за полтора года таких случаев зафиксировано лишь 19.</w:t>
      </w:r>
    </w:p>
    <w:p w:rsidR="00A35BCB" w:rsidRDefault="00A35BCB" w:rsidP="00A35BC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примеру:</w:t>
      </w:r>
    </w:p>
    <w:p w:rsidR="00A35BCB" w:rsidRDefault="00A35BCB" w:rsidP="00A35BC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 декабря 2012 года. Ростовская область. Обрушение </w:t>
      </w:r>
      <w:proofErr w:type="spellStart"/>
      <w:r>
        <w:rPr>
          <w:rFonts w:ascii="Times New Roman" w:hAnsi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моста. При демонтаже тротуарного основания западной стороны </w:t>
      </w:r>
      <w:proofErr w:type="spellStart"/>
      <w:r>
        <w:rPr>
          <w:rFonts w:ascii="Times New Roman" w:hAnsi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моста через реку Дон произошло обрушение бетонной конструкции на железнодорожные пути с находившимися на ней работниками. Погибло два человека.</w:t>
      </w:r>
    </w:p>
    <w:p w:rsidR="00A35BCB" w:rsidRDefault="00A35BCB" w:rsidP="00A35BC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- 13 декабря 2012 года. Ростовская область. Таганрог. Обрушение недостроенного здания. При заливке бетоном несъёмной пенополистирольной опалубки произошло обрушение строительных конструкций недостроенного жилого дома по улице Чехова 57/31. Под завалами оказалось в общей сложности 18 человек. Пятеро из них погибли.</w:t>
      </w:r>
    </w:p>
    <w:p w:rsidR="00A35BCB" w:rsidRDefault="00A35BCB" w:rsidP="00A35BC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 декабря 2012 года. Нижний Новгород. Обрушение перекрытия в музыкальном зале детского сада №140, расположенного по адресу: ул. Вологдина, 3а. Двухэтажное кирпичное здание детского сада, построенное в 1954 году, ремонтировали в 2011 году.</w:t>
      </w:r>
    </w:p>
    <w:p w:rsidR="00A35BCB" w:rsidRDefault="00A35BCB" w:rsidP="00A35BC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настоящее время строительный контроль может осуществляться застройщиком, техническим заказчиком и физическим или юридическим лицом по договору. </w:t>
      </w:r>
    </w:p>
    <w:p w:rsidR="00A35BCB" w:rsidRDefault="00A35BCB" w:rsidP="00A35BC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Настоящим законопроектом предлагается внести изменения в Градостроительный Кодекс РФ и в 44-ФЗ «О контрактной системе…», а именно установить норму, в соответствие с которой строительный контроль может осуществляться только специализированными организациями, действующими на профессиональной основе, имеющими необходимый опыт, квалифицированный персонал и соответствующие оборудование, которое поможет исключить проблемы низкого качества строительства, обеспечит безаварийную и безопасную эксплуатацию вновь построенных и отремонтированных объектов.</w:t>
      </w:r>
      <w:proofErr w:type="gramEnd"/>
    </w:p>
    <w:p w:rsidR="00A35BCB" w:rsidRDefault="00A35BCB" w:rsidP="00A35BC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 первоочередными уставными целями вышеуказанных организаций является улучшение качества строительства и ремонта, решения социальных задач.</w:t>
      </w:r>
    </w:p>
    <w:p w:rsidR="00A35BCB" w:rsidRDefault="00A35BCB" w:rsidP="00A35BC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функции строительного контроля закреплены как в Градостроительном кодексе Российской Федерации, так и в Постановлении Правительства РФ от 21.06.2010 №468 «Положение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строительства». Однако, ни заказчики, ни подрядные организации зачастую оказываются не готовыми к полноценному осуществлению строительного контроля.</w:t>
      </w:r>
    </w:p>
    <w:p w:rsidR="00A35BCB" w:rsidRDefault="00A35BCB" w:rsidP="00A35BC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заказчики сегодня как-то выполняют эту функцию, то подрядные организации в большинстве случаев самоустраняются от ее выполнения. Строительный контроль заказчика заключается в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осуществлением контроля подрядчиком. Данное положение нормативных документов сегодня не выполняется практически повсеместно. Соответственно, страдает качество строительства.</w:t>
      </w:r>
    </w:p>
    <w:p w:rsidR="00A35BCB" w:rsidRDefault="00A35BCB" w:rsidP="00A35BC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коммерческие организации охотнее идут на привлечение специализированной организации по строительному контролю </w:t>
      </w:r>
      <w:r>
        <w:rPr>
          <w:rFonts w:ascii="Times New Roman" w:hAnsi="Times New Roman"/>
          <w:sz w:val="28"/>
          <w:szCs w:val="28"/>
        </w:rPr>
        <w:lastRenderedPageBreak/>
        <w:t>при строительстве, ремонте объектов, чем бюджетные заказчики. Отсутствие заинтересованности в технадзоре может привести в дальнейшем к ухудшению качества строительных и ремонтных работ, массовым жалобам населения, и, в конечном счете, к повышению недоверия к надежности строительной отрасли и системы жилищно-коммунального хозяйства в целом.</w:t>
      </w:r>
    </w:p>
    <w:p w:rsidR="00A35BCB" w:rsidRDefault="00A35BCB" w:rsidP="00A35BC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изменения данной ситуации настоящим законопроектом предлагается внести изменения в статью 55.13 Кодекса, обязывающие саморегулируемые организации строителей контролировать своих членов на предмет осуществления ими строительного контроля согласно вышеуказанному Постановлению Правительства России.</w:t>
      </w:r>
    </w:p>
    <w:p w:rsidR="00A35BCB" w:rsidRDefault="00A35BCB" w:rsidP="00A35BC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Законопроектом предусматривается, что в целях обеспечения целостности системы строительства и исключения в последующем рисков в строительной отрасли и системы жилищно-коммунального хозяйства государственными и муниципальными учреждениями будут заключаться договоры (контракты) на осуществление строительного контроля со специализированными организациями,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процентов, и имеющими необходимый опыт, персонал и</w:t>
      </w:r>
      <w:proofErr w:type="gramEnd"/>
      <w:r>
        <w:rPr>
          <w:rFonts w:ascii="Times New Roman" w:hAnsi="Times New Roman"/>
          <w:sz w:val="28"/>
          <w:szCs w:val="28"/>
        </w:rPr>
        <w:t xml:space="preserve"> оборудование как с единственным поставщиком услуг.</w:t>
      </w:r>
    </w:p>
    <w:p w:rsidR="00A35BCB" w:rsidRPr="00217E4A" w:rsidRDefault="00A35BCB" w:rsidP="002B0EA9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Проектируемое дополнение в 44-ФЗ «О контрактной системе…» благоприятно скажется на качественной и эффективной реализации целевых бюджетных программ по строительству и ремонту, безаварийной и безопасной эксплуатации вновь построенных и отремонтированных объектов, повысит качество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процессом строительства, ремонта и обеспечения граждан России комфортным и безопасным жильем.</w:t>
      </w:r>
    </w:p>
    <w:sectPr w:rsidR="00A35BCB" w:rsidRPr="00217E4A" w:rsidSect="001E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06A6"/>
    <w:multiLevelType w:val="hybridMultilevel"/>
    <w:tmpl w:val="29587836"/>
    <w:lvl w:ilvl="0" w:tplc="5858B8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7057280"/>
    <w:multiLevelType w:val="hybridMultilevel"/>
    <w:tmpl w:val="55DEA0CE"/>
    <w:lvl w:ilvl="0" w:tplc="74FEB55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999"/>
    <w:rsid w:val="001E1C5F"/>
    <w:rsid w:val="00217E4A"/>
    <w:rsid w:val="002B0EA9"/>
    <w:rsid w:val="00483999"/>
    <w:rsid w:val="00A35BCB"/>
    <w:rsid w:val="00C75A02"/>
    <w:rsid w:val="00FF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5B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5B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722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6727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ozd2.duma.gov.ru/main.nsf/(printzp)?OpenAgent&amp;RN=434598-6&amp;113" TargetMode="External"/><Relationship Id="rId5" Type="http://schemas.openxmlformats.org/officeDocument/2006/relationships/hyperlink" Target="http://asozd2.duma.gov.ru/main.nsf/(printzp)?OpenAgent&amp;RN=434598-6&amp;12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Михаил</cp:lastModifiedBy>
  <cp:revision>8</cp:revision>
  <dcterms:created xsi:type="dcterms:W3CDTF">2014-01-28T06:31:00Z</dcterms:created>
  <dcterms:modified xsi:type="dcterms:W3CDTF">2014-01-31T08:08:00Z</dcterms:modified>
</cp:coreProperties>
</file>